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E2" w:rsidRPr="00CA7550" w:rsidRDefault="00CA7550" w:rsidP="00691A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CA755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A77E2" w:rsidRPr="00CA7550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8D5255" w:rsidRPr="00CA7550">
        <w:rPr>
          <w:rFonts w:ascii="Times New Roman" w:hAnsi="Times New Roman" w:cs="Times New Roman"/>
          <w:b/>
          <w:sz w:val="20"/>
          <w:szCs w:val="20"/>
        </w:rPr>
        <w:t xml:space="preserve"> do SIWZ</w:t>
      </w:r>
    </w:p>
    <w:p w:rsidR="00D12B1B" w:rsidRPr="00CA7550" w:rsidRDefault="00D12B1B" w:rsidP="007A77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550">
        <w:rPr>
          <w:rFonts w:ascii="Times New Roman" w:hAnsi="Times New Roman" w:cs="Times New Roman"/>
          <w:b/>
        </w:rPr>
        <w:t>Szczegółowy opis zamówienia</w:t>
      </w:r>
    </w:p>
    <w:p w:rsidR="00D12B1B" w:rsidRPr="00CA7550" w:rsidRDefault="006D6920" w:rsidP="00A038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A7550">
        <w:rPr>
          <w:rFonts w:ascii="Times New Roman" w:hAnsi="Times New Roman" w:cs="Times New Roman"/>
          <w:b/>
        </w:rPr>
        <w:t xml:space="preserve">1. </w:t>
      </w:r>
      <w:r w:rsidR="00D12B1B" w:rsidRPr="00CA7550">
        <w:rPr>
          <w:rFonts w:ascii="Times New Roman" w:hAnsi="Times New Roman" w:cs="Times New Roman"/>
          <w:b/>
        </w:rPr>
        <w:t>Wymagania dotyczące analizatora</w:t>
      </w:r>
      <w:r w:rsidR="000C5F4C" w:rsidRPr="00CA7550">
        <w:rPr>
          <w:rFonts w:ascii="Times New Roman" w:hAnsi="Times New Roman" w:cs="Times New Roman"/>
          <w:b/>
        </w:rPr>
        <w:t>, akcesoriów i odczynników</w:t>
      </w:r>
      <w:r w:rsidR="00D12B1B" w:rsidRPr="00CA7550">
        <w:rPr>
          <w:rFonts w:ascii="Times New Roman" w:hAnsi="Times New Roman" w:cs="Times New Roman"/>
          <w:b/>
        </w:rPr>
        <w:t>: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1.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Analizator</w:t>
      </w:r>
      <w:r w:rsidR="008432BB" w:rsidRPr="00CA7550">
        <w:rPr>
          <w:rFonts w:ascii="Times New Roman" w:hAnsi="Times New Roman" w:cs="Times New Roman"/>
        </w:rPr>
        <w:t xml:space="preserve"> </w:t>
      </w:r>
      <w:r w:rsidRPr="00CA7550">
        <w:rPr>
          <w:rFonts w:ascii="Times New Roman" w:hAnsi="Times New Roman" w:cs="Times New Roman"/>
        </w:rPr>
        <w:t xml:space="preserve">powinien wykonywać samodzielnie całą procedurę badania od pobierania materiału z badanej próbki do automatycznego przesłania wyniku do komputera przy zastosowaniu technologii wykonywanych testów </w:t>
      </w:r>
      <w:proofErr w:type="spellStart"/>
      <w:r w:rsidRPr="00CA7550">
        <w:rPr>
          <w:rFonts w:ascii="Times New Roman" w:hAnsi="Times New Roman" w:cs="Times New Roman"/>
        </w:rPr>
        <w:t>mikrokolumnowych</w:t>
      </w:r>
      <w:proofErr w:type="spellEnd"/>
      <w:r w:rsidRPr="00CA7550">
        <w:rPr>
          <w:rFonts w:ascii="Times New Roman" w:hAnsi="Times New Roman" w:cs="Times New Roman"/>
        </w:rPr>
        <w:t xml:space="preserve"> z zastosowaniem różnego ro</w:t>
      </w:r>
      <w:r w:rsidR="006500C5" w:rsidRPr="00CA7550">
        <w:rPr>
          <w:rFonts w:ascii="Times New Roman" w:hAnsi="Times New Roman" w:cs="Times New Roman"/>
        </w:rPr>
        <w:t xml:space="preserve">dzaju odczynników. 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2.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Automatyczny analizator</w:t>
      </w:r>
      <w:r w:rsidR="00F7444C" w:rsidRPr="00CA7550">
        <w:rPr>
          <w:rFonts w:ascii="Times New Roman" w:hAnsi="Times New Roman" w:cs="Times New Roman"/>
        </w:rPr>
        <w:t xml:space="preserve"> oraz niezbędne odczynniki, karty, materiały kontrolne i zużywalne</w:t>
      </w:r>
      <w:r w:rsidRPr="00CA7550">
        <w:rPr>
          <w:rFonts w:ascii="Times New Roman" w:hAnsi="Times New Roman" w:cs="Times New Roman"/>
        </w:rPr>
        <w:t xml:space="preserve"> umożliwiając</w:t>
      </w:r>
      <w:r w:rsidR="00F7444C" w:rsidRPr="00CA7550">
        <w:rPr>
          <w:rFonts w:ascii="Times New Roman" w:hAnsi="Times New Roman" w:cs="Times New Roman"/>
        </w:rPr>
        <w:t>e</w:t>
      </w:r>
      <w:r w:rsidRPr="00CA7550">
        <w:rPr>
          <w:rFonts w:ascii="Times New Roman" w:hAnsi="Times New Roman" w:cs="Times New Roman"/>
        </w:rPr>
        <w:t xml:space="preserve"> </w:t>
      </w:r>
      <w:r w:rsidR="00615EFC" w:rsidRPr="00CA7550">
        <w:rPr>
          <w:rFonts w:ascii="Times New Roman" w:hAnsi="Times New Roman" w:cs="Times New Roman"/>
        </w:rPr>
        <w:t>wykonanie</w:t>
      </w:r>
      <w:r w:rsidRPr="00CA7550">
        <w:rPr>
          <w:rFonts w:ascii="Times New Roman" w:hAnsi="Times New Roman" w:cs="Times New Roman"/>
        </w:rPr>
        <w:t xml:space="preserve"> następujących badań w technice </w:t>
      </w:r>
      <w:proofErr w:type="spellStart"/>
      <w:r w:rsidRPr="00CA7550">
        <w:rPr>
          <w:rFonts w:ascii="Times New Roman" w:hAnsi="Times New Roman" w:cs="Times New Roman"/>
        </w:rPr>
        <w:t>mikrokolumnowej</w:t>
      </w:r>
      <w:proofErr w:type="spellEnd"/>
      <w:r w:rsidRPr="00CA7550">
        <w:rPr>
          <w:rFonts w:ascii="Times New Roman" w:hAnsi="Times New Roman" w:cs="Times New Roman"/>
        </w:rPr>
        <w:t>:</w:t>
      </w:r>
    </w:p>
    <w:p w:rsidR="00EF3A16" w:rsidRPr="00CA7550" w:rsidRDefault="00582179" w:rsidP="00615EFC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</w:t>
      </w:r>
      <w:r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 xml:space="preserve">Grupa krwi układu ABO, </w:t>
      </w:r>
      <w:proofErr w:type="spellStart"/>
      <w:r w:rsidR="00D12B1B" w:rsidRPr="00CA7550">
        <w:rPr>
          <w:rFonts w:ascii="Times New Roman" w:hAnsi="Times New Roman" w:cs="Times New Roman"/>
        </w:rPr>
        <w:t>RhD</w:t>
      </w:r>
      <w:proofErr w:type="spellEnd"/>
      <w:r w:rsidR="00D12B1B" w:rsidRPr="00CA7550">
        <w:rPr>
          <w:rFonts w:ascii="Times New Roman" w:hAnsi="Times New Roman" w:cs="Times New Roman"/>
        </w:rPr>
        <w:t xml:space="preserve"> z oznac</w:t>
      </w:r>
      <w:r w:rsidR="00412A35" w:rsidRPr="00CA7550">
        <w:rPr>
          <w:rFonts w:ascii="Times New Roman" w:hAnsi="Times New Roman" w:cs="Times New Roman"/>
        </w:rPr>
        <w:t>zeniem izoaglutynin grupowych A</w:t>
      </w:r>
      <w:r w:rsidR="00412A35" w:rsidRPr="00CA7550">
        <w:rPr>
          <w:rFonts w:ascii="Times New Roman" w:hAnsi="Times New Roman" w:cs="Times New Roman"/>
          <w:vertAlign w:val="subscript"/>
        </w:rPr>
        <w:t>1</w:t>
      </w:r>
      <w:r w:rsidR="00D12B1B" w:rsidRPr="00CA7550">
        <w:rPr>
          <w:rFonts w:ascii="Times New Roman" w:hAnsi="Times New Roman" w:cs="Times New Roman"/>
        </w:rPr>
        <w:t>, B i podwójnym oznaczeniem antygenu D (DVI+, DVI-).</w:t>
      </w:r>
    </w:p>
    <w:p w:rsidR="00D12B1B" w:rsidRPr="00CA7550" w:rsidRDefault="00582179" w:rsidP="00A03899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Wykrywanie przeciwciał odpornościowych.</w:t>
      </w:r>
    </w:p>
    <w:p w:rsidR="00EF3A16" w:rsidRPr="00CA7550" w:rsidRDefault="00582179" w:rsidP="00A03899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</w:t>
      </w:r>
      <w:r w:rsidR="00EF3A16" w:rsidRPr="00CA7550">
        <w:rPr>
          <w:rFonts w:ascii="Times New Roman" w:hAnsi="Times New Roman" w:cs="Times New Roman"/>
        </w:rPr>
        <w:t xml:space="preserve"> Próby zgodności serologicznej między biorcą/dawcą.</w:t>
      </w:r>
    </w:p>
    <w:p w:rsidR="00615EFC" w:rsidRPr="00CA7550" w:rsidRDefault="00615EFC" w:rsidP="00A03899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 xml:space="preserve">- Bezpośredni test </w:t>
      </w:r>
      <w:proofErr w:type="spellStart"/>
      <w:r w:rsidRPr="00CA7550">
        <w:rPr>
          <w:rFonts w:ascii="Times New Roman" w:hAnsi="Times New Roman" w:cs="Times New Roman"/>
        </w:rPr>
        <w:t>antyglobulinowy</w:t>
      </w:r>
      <w:proofErr w:type="spellEnd"/>
      <w:r w:rsidRPr="00CA7550">
        <w:rPr>
          <w:rFonts w:ascii="Times New Roman" w:hAnsi="Times New Roman" w:cs="Times New Roman"/>
        </w:rPr>
        <w:t xml:space="preserve"> (BTA).</w:t>
      </w:r>
    </w:p>
    <w:p w:rsidR="00D12B1B" w:rsidRPr="00CA7550" w:rsidRDefault="00D12B1B" w:rsidP="00615EFC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3.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Możliwość wykonywania pojedynczych testów i kombinacji testów, z dostępna funkcją wykonania pilnych badań.</w:t>
      </w:r>
    </w:p>
    <w:p w:rsidR="00D12B1B" w:rsidRPr="00CA7550" w:rsidRDefault="00615EFC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4.</w:t>
      </w:r>
      <w:r w:rsidR="00D12B1B"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Automatyczne wykonanie odpowiednich zawiesin krwinek czerwonych na pokładzie automatycznego analizatora, jeśli wymaga tego procedura.</w:t>
      </w:r>
    </w:p>
    <w:p w:rsidR="00D12B1B" w:rsidRPr="00CA7550" w:rsidRDefault="00615EFC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5</w:t>
      </w:r>
      <w:r w:rsidR="00D12B1B"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Automatyczne pipetowanie próbek badanych i odczynników-jeśli wymaga tego procedura.</w:t>
      </w:r>
    </w:p>
    <w:p w:rsidR="00D12B1B" w:rsidRPr="00CA7550" w:rsidRDefault="00615EFC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6</w:t>
      </w:r>
      <w:r w:rsidR="00D12B1B"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Automatyczny system informujący, jeśli ilość odczynników i próbek nie jest wystarczająca do wykonania zaplanowanych badań.</w:t>
      </w:r>
    </w:p>
    <w:p w:rsidR="00D12B1B" w:rsidRPr="00CA7550" w:rsidRDefault="00615EFC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7</w:t>
      </w:r>
      <w:r w:rsidR="00D12B1B"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System detekcji poziomu płynu w próbkach badanych i odczynnikach.</w:t>
      </w:r>
    </w:p>
    <w:p w:rsidR="00D12B1B" w:rsidRPr="00CA7550" w:rsidRDefault="00615EFC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8</w:t>
      </w:r>
      <w:r w:rsidR="00D12B1B"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System detekcji skrzepu.</w:t>
      </w:r>
    </w:p>
    <w:p w:rsidR="00D12B1B" w:rsidRPr="00CA7550" w:rsidRDefault="00615EFC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9</w:t>
      </w:r>
      <w:r w:rsidR="00D12B1B"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Automatyczny system kontroli stanu modułów automatycznego analizatora monitorujący główne etapy procesu.</w:t>
      </w:r>
    </w:p>
    <w:p w:rsidR="00615EFC" w:rsidRPr="00CA7550" w:rsidRDefault="00615EFC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10. Drukowanie kodów kreskowych numerów badań.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11.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Odczytywanie kodów kreskowych z próbek krwi i odczynników.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12.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Akceptacja</w:t>
      </w:r>
      <w:r w:rsidR="001D524A" w:rsidRPr="00CA7550">
        <w:rPr>
          <w:rFonts w:ascii="Times New Roman" w:hAnsi="Times New Roman" w:cs="Times New Roman"/>
        </w:rPr>
        <w:t xml:space="preserve"> </w:t>
      </w:r>
      <w:r w:rsidRPr="00CA7550">
        <w:rPr>
          <w:rFonts w:ascii="Times New Roman" w:hAnsi="Times New Roman" w:cs="Times New Roman"/>
        </w:rPr>
        <w:t>systemu kodów kreskowych stosowanych w</w:t>
      </w:r>
      <w:r w:rsidR="00E03F5C">
        <w:rPr>
          <w:rFonts w:ascii="Times New Roman" w:hAnsi="Times New Roman" w:cs="Times New Roman"/>
        </w:rPr>
        <w:t xml:space="preserve"> pracowni serologii i banku krwi</w:t>
      </w:r>
      <w:r w:rsidRPr="00CA7550">
        <w:rPr>
          <w:rFonts w:ascii="Times New Roman" w:hAnsi="Times New Roman" w:cs="Times New Roman"/>
        </w:rPr>
        <w:t xml:space="preserve"> </w:t>
      </w:r>
      <w:r w:rsidR="00615EFC" w:rsidRPr="00CA7550">
        <w:rPr>
          <w:rFonts w:ascii="Times New Roman" w:hAnsi="Times New Roman" w:cs="Times New Roman"/>
        </w:rPr>
        <w:t xml:space="preserve">SP ZOZ </w:t>
      </w:r>
      <w:proofErr w:type="spellStart"/>
      <w:r w:rsidR="00615EFC" w:rsidRPr="00CA7550">
        <w:rPr>
          <w:rFonts w:ascii="Times New Roman" w:hAnsi="Times New Roman" w:cs="Times New Roman"/>
        </w:rPr>
        <w:t>MSWiA</w:t>
      </w:r>
      <w:proofErr w:type="spellEnd"/>
      <w:r w:rsidRPr="00CA7550">
        <w:rPr>
          <w:rFonts w:ascii="Times New Roman" w:hAnsi="Times New Roman" w:cs="Times New Roman"/>
        </w:rPr>
        <w:t xml:space="preserve"> </w:t>
      </w:r>
      <w:r w:rsidR="00E03F5C">
        <w:rPr>
          <w:rFonts w:ascii="Times New Roman" w:hAnsi="Times New Roman" w:cs="Times New Roman"/>
        </w:rPr>
        <w:t xml:space="preserve">                   </w:t>
      </w:r>
      <w:r w:rsidRPr="00CA7550">
        <w:rPr>
          <w:rFonts w:ascii="Times New Roman" w:hAnsi="Times New Roman" w:cs="Times New Roman"/>
        </w:rPr>
        <w:t>w Poznaniu (ISBT128).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13.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Pozytywna</w:t>
      </w:r>
      <w:r w:rsidR="001D524A" w:rsidRPr="00CA7550">
        <w:rPr>
          <w:rFonts w:ascii="Times New Roman" w:hAnsi="Times New Roman" w:cs="Times New Roman"/>
        </w:rPr>
        <w:t xml:space="preserve"> </w:t>
      </w:r>
      <w:r w:rsidRPr="00CA7550">
        <w:rPr>
          <w:rFonts w:ascii="Times New Roman" w:hAnsi="Times New Roman" w:cs="Times New Roman"/>
        </w:rPr>
        <w:t>identyfikacja badanych próbek i odczynników poprzez kody kreskowe albo numery rejestracyjne wprowadzane manualnie.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14.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Wydruk protokołu badania dowolnie skonf</w:t>
      </w:r>
      <w:r w:rsidR="003A30BF" w:rsidRPr="00CA7550">
        <w:rPr>
          <w:rFonts w:ascii="Times New Roman" w:hAnsi="Times New Roman" w:cs="Times New Roman"/>
        </w:rPr>
        <w:t>igurowanego przez użytkownika (</w:t>
      </w:r>
      <w:r w:rsidRPr="00CA7550">
        <w:rPr>
          <w:rFonts w:ascii="Times New Roman" w:hAnsi="Times New Roman" w:cs="Times New Roman"/>
        </w:rPr>
        <w:t>możliwość wydruku danych: imię, nazwisko, PESEL i numer ba</w:t>
      </w:r>
      <w:r w:rsidR="003A30BF" w:rsidRPr="00CA7550">
        <w:rPr>
          <w:rFonts w:ascii="Times New Roman" w:hAnsi="Times New Roman" w:cs="Times New Roman"/>
        </w:rPr>
        <w:t>dania</w:t>
      </w:r>
      <w:r w:rsidRPr="00CA7550">
        <w:rPr>
          <w:rFonts w:ascii="Times New Roman" w:hAnsi="Times New Roman" w:cs="Times New Roman"/>
        </w:rPr>
        <w:t>).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15.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Wydruk protokołu badania wszystkich reakcji z krwinkami w języku polskim.</w:t>
      </w:r>
    </w:p>
    <w:p w:rsidR="008244CB" w:rsidRPr="00CA7550" w:rsidRDefault="00D12B1B" w:rsidP="008244C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/>
        </w:rPr>
      </w:pPr>
      <w:r w:rsidRPr="00CA7550">
        <w:rPr>
          <w:rFonts w:ascii="Times New Roman" w:hAnsi="Times New Roman" w:cs="Times New Roman"/>
        </w:rPr>
        <w:t>16.</w:t>
      </w:r>
      <w:r w:rsidR="00A03899" w:rsidRPr="00CA7550">
        <w:rPr>
          <w:rFonts w:ascii="Times New Roman" w:hAnsi="Times New Roman" w:cs="Times New Roman"/>
        </w:rPr>
        <w:tab/>
      </w:r>
      <w:r w:rsidR="00FF32B9" w:rsidRPr="00CA7550">
        <w:rPr>
          <w:rFonts w:ascii="Times New Roman" w:hAnsi="Times New Roman" w:cs="Times New Roman"/>
        </w:rPr>
        <w:t xml:space="preserve">Zapewnienie </w:t>
      </w:r>
      <w:r w:rsidR="00615EFC" w:rsidRPr="00CA7550">
        <w:rPr>
          <w:rFonts w:ascii="Times New Roman" w:hAnsi="Times New Roman" w:cs="Times New Roman"/>
        </w:rPr>
        <w:t>dwukierunkowej transmisji</w:t>
      </w:r>
      <w:r w:rsidRPr="00CA7550">
        <w:rPr>
          <w:rFonts w:ascii="Times New Roman" w:hAnsi="Times New Roman" w:cs="Times New Roman"/>
        </w:rPr>
        <w:t xml:space="preserve"> danych do systemu </w:t>
      </w:r>
      <w:r w:rsidR="00615EFC" w:rsidRPr="00CA7550">
        <w:rPr>
          <w:rFonts w:ascii="Times New Roman" w:hAnsi="Times New Roman" w:cs="Times New Roman"/>
        </w:rPr>
        <w:t>w SP ZOZ MSWiA w Poznaniu</w:t>
      </w:r>
      <w:r w:rsidRPr="00CA7550">
        <w:rPr>
          <w:rFonts w:ascii="Times New Roman" w:hAnsi="Times New Roman" w:cs="Times New Roman"/>
        </w:rPr>
        <w:t xml:space="preserve"> wraz </w:t>
      </w:r>
      <w:r w:rsidR="00CA7550">
        <w:rPr>
          <w:rFonts w:ascii="Times New Roman" w:hAnsi="Times New Roman" w:cs="Times New Roman"/>
        </w:rPr>
        <w:t xml:space="preserve">                                </w:t>
      </w:r>
      <w:r w:rsidRPr="00CA7550">
        <w:rPr>
          <w:rFonts w:ascii="Times New Roman" w:hAnsi="Times New Roman" w:cs="Times New Roman"/>
        </w:rPr>
        <w:t>z aktualizacją w czasie trwania umowy</w:t>
      </w:r>
      <w:r w:rsidR="008244CB" w:rsidRPr="00CA7550">
        <w:rPr>
          <w:rFonts w:ascii="Times New Roman" w:eastAsia="Calibri" w:hAnsi="Times New Roman" w:cs="Times New Roman"/>
          <w:bCs/>
        </w:rPr>
        <w:t>:</w:t>
      </w:r>
    </w:p>
    <w:p w:rsidR="008244CB" w:rsidRPr="00CA7550" w:rsidRDefault="008244CB" w:rsidP="008244CB">
      <w:pPr>
        <w:pStyle w:val="Akapitzlist"/>
        <w:numPr>
          <w:ilvl w:val="1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A7550">
        <w:rPr>
          <w:rFonts w:ascii="Times New Roman" w:eastAsia="Times New Roman" w:hAnsi="Times New Roman" w:cs="Times New Roman"/>
        </w:rPr>
        <w:t>Dwukierunkowa transmisja danych z możliwością bezpośredniego komunikacji z LIS (Asseco Poland S.A.), a w szczególności zlecenia z systemu LIS (Asseco Poland S.A.) do analizatora, a wyników badań laboratoryjnych z analizatora do systemu LIS (Asseco Poland S.A.).</w:t>
      </w:r>
    </w:p>
    <w:p w:rsidR="008244CB" w:rsidRPr="00CA7550" w:rsidRDefault="008244CB" w:rsidP="008244CB">
      <w:pPr>
        <w:pStyle w:val="Akapitzlist"/>
        <w:numPr>
          <w:ilvl w:val="1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A7550">
        <w:rPr>
          <w:rFonts w:ascii="Times New Roman" w:eastAsia="Times New Roman" w:hAnsi="Times New Roman" w:cs="Times New Roman"/>
        </w:rPr>
        <w:t>Wykonawca jest zobowiązany przekazać Zamawiającemu opis oraz specyfikację protokołu komunikacji w wersji elektronicznej.</w:t>
      </w:r>
    </w:p>
    <w:p w:rsidR="008244CB" w:rsidRPr="00CA7550" w:rsidRDefault="008244CB" w:rsidP="008244CB">
      <w:pPr>
        <w:pStyle w:val="Akapitzlist"/>
        <w:numPr>
          <w:ilvl w:val="1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A7550">
        <w:rPr>
          <w:rFonts w:ascii="Times New Roman" w:eastAsia="Times New Roman" w:hAnsi="Times New Roman" w:cs="Times New Roman"/>
        </w:rPr>
        <w:t xml:space="preserve">Koszt podłączenia analizatora do istniejącego systemu </w:t>
      </w:r>
      <w:proofErr w:type="spellStart"/>
      <w:r w:rsidRPr="00CA7550">
        <w:rPr>
          <w:rFonts w:ascii="Times New Roman" w:eastAsia="Times New Roman" w:hAnsi="Times New Roman" w:cs="Times New Roman"/>
        </w:rPr>
        <w:t>LIS’a</w:t>
      </w:r>
      <w:proofErr w:type="spellEnd"/>
      <w:r w:rsidRPr="00CA755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A7550">
        <w:rPr>
          <w:rFonts w:ascii="Times New Roman" w:eastAsia="Times New Roman" w:hAnsi="Times New Roman" w:cs="Times New Roman"/>
        </w:rPr>
        <w:t>Asseco</w:t>
      </w:r>
      <w:proofErr w:type="spellEnd"/>
      <w:r w:rsidRPr="00CA7550">
        <w:rPr>
          <w:rFonts w:ascii="Times New Roman" w:eastAsia="Times New Roman" w:hAnsi="Times New Roman" w:cs="Times New Roman"/>
        </w:rPr>
        <w:t xml:space="preserve"> Poland S.A.) ponosi Wykonawca.</w:t>
      </w:r>
      <w:bookmarkStart w:id="0" w:name="_GoBack"/>
      <w:bookmarkEnd w:id="0"/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17.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Oprogramowanie analizatora w języku polskim.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18.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Archiwizacja wyników badań (protokół badania i obraz bezpośredni)</w:t>
      </w:r>
      <w:r w:rsidR="00E03F5C">
        <w:rPr>
          <w:rFonts w:ascii="Times New Roman" w:hAnsi="Times New Roman" w:cs="Times New Roman"/>
        </w:rPr>
        <w:t xml:space="preserve"> – możliwość archiwizacji na</w:t>
      </w:r>
      <w:r w:rsidR="005129E0">
        <w:rPr>
          <w:rFonts w:ascii="Times New Roman" w:hAnsi="Times New Roman" w:cs="Times New Roman"/>
        </w:rPr>
        <w:t xml:space="preserve"> </w:t>
      </w:r>
      <w:proofErr w:type="spellStart"/>
      <w:r w:rsidR="00E03F5C">
        <w:rPr>
          <w:rFonts w:ascii="Times New Roman" w:hAnsi="Times New Roman" w:cs="Times New Roman"/>
        </w:rPr>
        <w:t>datkowym</w:t>
      </w:r>
      <w:proofErr w:type="spellEnd"/>
      <w:r w:rsidR="00E03F5C">
        <w:rPr>
          <w:rFonts w:ascii="Times New Roman" w:hAnsi="Times New Roman" w:cs="Times New Roman"/>
        </w:rPr>
        <w:t xml:space="preserve"> nośniku danych</w:t>
      </w:r>
      <w:r w:rsidRPr="00CA7550">
        <w:rPr>
          <w:rFonts w:ascii="Times New Roman" w:hAnsi="Times New Roman" w:cs="Times New Roman"/>
        </w:rPr>
        <w:t>.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19.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Kompletna</w:t>
      </w:r>
      <w:r w:rsidR="001D524A" w:rsidRPr="00CA7550">
        <w:rPr>
          <w:rFonts w:ascii="Times New Roman" w:hAnsi="Times New Roman" w:cs="Times New Roman"/>
        </w:rPr>
        <w:t xml:space="preserve"> </w:t>
      </w:r>
      <w:r w:rsidRPr="00CA7550">
        <w:rPr>
          <w:rFonts w:ascii="Times New Roman" w:hAnsi="Times New Roman" w:cs="Times New Roman"/>
        </w:rPr>
        <w:t>rejestracja czynności operatora, użytych próbek i wykonanych testów.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20.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Współpraca</w:t>
      </w:r>
      <w:r w:rsidR="00633E72" w:rsidRPr="00CA7550">
        <w:rPr>
          <w:rFonts w:ascii="Times New Roman" w:hAnsi="Times New Roman" w:cs="Times New Roman"/>
        </w:rPr>
        <w:t xml:space="preserve"> </w:t>
      </w:r>
      <w:r w:rsidRPr="00CA7550">
        <w:rPr>
          <w:rFonts w:ascii="Times New Roman" w:hAnsi="Times New Roman" w:cs="Times New Roman"/>
        </w:rPr>
        <w:t>z różnymi typami probówek.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21.</w:t>
      </w:r>
      <w:r w:rsidR="00A03899" w:rsidRPr="00CA7550">
        <w:rPr>
          <w:rFonts w:ascii="Times New Roman" w:hAnsi="Times New Roman" w:cs="Times New Roman"/>
        </w:rPr>
        <w:tab/>
      </w:r>
      <w:r w:rsidR="00BF46FD" w:rsidRPr="00CA7550">
        <w:rPr>
          <w:rFonts w:ascii="Times New Roman" w:hAnsi="Times New Roman" w:cs="Times New Roman"/>
        </w:rPr>
        <w:t xml:space="preserve">Pojemność analizatora – co najmniej </w:t>
      </w:r>
      <w:r w:rsidR="00615EFC" w:rsidRPr="00CA7550">
        <w:rPr>
          <w:rFonts w:ascii="Times New Roman" w:hAnsi="Times New Roman" w:cs="Times New Roman"/>
        </w:rPr>
        <w:t>40</w:t>
      </w:r>
      <w:r w:rsidR="00BF46FD" w:rsidRPr="00CA7550">
        <w:rPr>
          <w:rFonts w:ascii="Times New Roman" w:hAnsi="Times New Roman" w:cs="Times New Roman"/>
        </w:rPr>
        <w:t xml:space="preserve"> próbek na pokładzie</w:t>
      </w:r>
      <w:r w:rsidRPr="00CA7550">
        <w:rPr>
          <w:rFonts w:ascii="Times New Roman" w:hAnsi="Times New Roman" w:cs="Times New Roman"/>
        </w:rPr>
        <w:t>.</w:t>
      </w:r>
    </w:p>
    <w:p w:rsidR="00BF46FD" w:rsidRPr="00CA7550" w:rsidRDefault="00BF46FD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 xml:space="preserve">22.Wydajność analizatora minimum </w:t>
      </w:r>
      <w:r w:rsidR="00615EFC" w:rsidRPr="00CA7550">
        <w:rPr>
          <w:rFonts w:ascii="Times New Roman" w:hAnsi="Times New Roman" w:cs="Times New Roman"/>
        </w:rPr>
        <w:t>20</w:t>
      </w:r>
      <w:r w:rsidRPr="00CA7550">
        <w:rPr>
          <w:rFonts w:ascii="Times New Roman" w:hAnsi="Times New Roman" w:cs="Times New Roman"/>
        </w:rPr>
        <w:t xml:space="preserve"> testów wykrywania przeciwciał na godzinę.</w:t>
      </w:r>
    </w:p>
    <w:p w:rsidR="00D12B1B" w:rsidRPr="00CA7550" w:rsidRDefault="00D12B1B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2</w:t>
      </w:r>
      <w:r w:rsidR="00BF46FD" w:rsidRPr="00CA7550">
        <w:rPr>
          <w:rFonts w:ascii="Times New Roman" w:hAnsi="Times New Roman" w:cs="Times New Roman"/>
        </w:rPr>
        <w:t>3</w:t>
      </w:r>
      <w:r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Pr="00CA7550">
        <w:rPr>
          <w:rFonts w:ascii="Times New Roman" w:hAnsi="Times New Roman" w:cs="Times New Roman"/>
        </w:rPr>
        <w:t>Certyfikat CE.</w:t>
      </w:r>
    </w:p>
    <w:p w:rsidR="00D12B1B" w:rsidRPr="00CA7550" w:rsidRDefault="00BF46FD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24</w:t>
      </w:r>
      <w:r w:rsidR="00D12B1B"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UPS wbudowany lub zewnętrzny - parametry dostosowane do oferowanego analizatora</w:t>
      </w:r>
      <w:r w:rsidR="005129E0">
        <w:rPr>
          <w:rFonts w:ascii="Times New Roman" w:hAnsi="Times New Roman" w:cs="Times New Roman"/>
        </w:rPr>
        <w:t xml:space="preserve"> umożliwiające zakończenie rozpoczętych badań i bezpieczne wyłączenie urządzenia</w:t>
      </w:r>
      <w:r w:rsidR="00D12B1B" w:rsidRPr="00CA7550">
        <w:rPr>
          <w:rFonts w:ascii="Times New Roman" w:hAnsi="Times New Roman" w:cs="Times New Roman"/>
        </w:rPr>
        <w:t>.</w:t>
      </w:r>
    </w:p>
    <w:p w:rsidR="00D12B1B" w:rsidRPr="00CA7550" w:rsidRDefault="00BF46FD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25</w:t>
      </w:r>
      <w:r w:rsidR="00D12B1B"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Zestaw</w:t>
      </w:r>
      <w:r w:rsidR="00B561E7" w:rsidRPr="00CA7550">
        <w:rPr>
          <w:rFonts w:ascii="Times New Roman" w:hAnsi="Times New Roman" w:cs="Times New Roman"/>
        </w:rPr>
        <w:t xml:space="preserve"> </w:t>
      </w:r>
      <w:r w:rsidR="00D12B1B" w:rsidRPr="00CA7550">
        <w:rPr>
          <w:rFonts w:ascii="Times New Roman" w:hAnsi="Times New Roman" w:cs="Times New Roman"/>
        </w:rPr>
        <w:t>do codziennej kontroli analizatora i walidacji automatu.</w:t>
      </w:r>
    </w:p>
    <w:p w:rsidR="00C11345" w:rsidRPr="00CA7550" w:rsidRDefault="00C11345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 xml:space="preserve">26. </w:t>
      </w:r>
      <w:proofErr w:type="spellStart"/>
      <w:r w:rsidRPr="00CA7550">
        <w:rPr>
          <w:rFonts w:ascii="Times New Roman" w:hAnsi="Times New Roman" w:cs="Times New Roman"/>
        </w:rPr>
        <w:t>Zewnątrzlaboratoryjna</w:t>
      </w:r>
      <w:proofErr w:type="spellEnd"/>
      <w:r w:rsidRPr="00CA7550">
        <w:rPr>
          <w:rFonts w:ascii="Times New Roman" w:hAnsi="Times New Roman" w:cs="Times New Roman"/>
        </w:rPr>
        <w:t xml:space="preserve"> kontrola jakości potwierdzona certyfikatem w zakresie podstawowym (4 razy </w:t>
      </w:r>
      <w:r w:rsidR="00CA7550">
        <w:rPr>
          <w:rFonts w:ascii="Times New Roman" w:hAnsi="Times New Roman" w:cs="Times New Roman"/>
        </w:rPr>
        <w:t xml:space="preserve">                      </w:t>
      </w:r>
      <w:r w:rsidRPr="00CA7550">
        <w:rPr>
          <w:rFonts w:ascii="Times New Roman" w:hAnsi="Times New Roman" w:cs="Times New Roman"/>
        </w:rPr>
        <w:t>w roku).</w:t>
      </w:r>
    </w:p>
    <w:p w:rsidR="00D12B1B" w:rsidRPr="00CA7550" w:rsidRDefault="00BF46FD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26</w:t>
      </w:r>
      <w:r w:rsidR="00D12B1B"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Badania</w:t>
      </w:r>
      <w:r w:rsidR="00B561E7" w:rsidRPr="00CA7550">
        <w:rPr>
          <w:rFonts w:ascii="Times New Roman" w:hAnsi="Times New Roman" w:cs="Times New Roman"/>
        </w:rPr>
        <w:t xml:space="preserve"> </w:t>
      </w:r>
      <w:r w:rsidR="00D12B1B" w:rsidRPr="00CA7550">
        <w:rPr>
          <w:rFonts w:ascii="Times New Roman" w:hAnsi="Times New Roman" w:cs="Times New Roman"/>
        </w:rPr>
        <w:t>oparte na zasadzie aglutynacji.</w:t>
      </w:r>
    </w:p>
    <w:p w:rsidR="00D12B1B" w:rsidRPr="00CA7550" w:rsidRDefault="00BF46FD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27</w:t>
      </w:r>
      <w:r w:rsidR="00D12B1B" w:rsidRPr="00CA7550">
        <w:rPr>
          <w:rFonts w:ascii="Times New Roman" w:hAnsi="Times New Roman" w:cs="Times New Roman"/>
        </w:rPr>
        <w:t>.</w:t>
      </w:r>
      <w:r w:rsidR="00A03899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 xml:space="preserve">Wykonawca w ofercie winien zawrzeć wszelkie </w:t>
      </w:r>
      <w:r w:rsidR="001670C1" w:rsidRPr="00CA7550">
        <w:rPr>
          <w:rFonts w:ascii="Times New Roman" w:hAnsi="Times New Roman" w:cs="Times New Roman"/>
        </w:rPr>
        <w:t>materiały</w:t>
      </w:r>
      <w:r w:rsidR="00D12B1B" w:rsidRPr="00CA7550">
        <w:rPr>
          <w:rFonts w:ascii="Times New Roman" w:hAnsi="Times New Roman" w:cs="Times New Roman"/>
        </w:rPr>
        <w:t xml:space="preserve"> eksploatacyjne konieczne do wykonania bad</w:t>
      </w:r>
      <w:r w:rsidR="00B561E7" w:rsidRPr="00CA7550">
        <w:rPr>
          <w:rFonts w:ascii="Times New Roman" w:hAnsi="Times New Roman" w:cs="Times New Roman"/>
        </w:rPr>
        <w:t>ań/oznaczeń i wydruku wyników (</w:t>
      </w:r>
      <w:r w:rsidR="00D12B1B" w:rsidRPr="00CA7550">
        <w:rPr>
          <w:rFonts w:ascii="Times New Roman" w:hAnsi="Times New Roman" w:cs="Times New Roman"/>
        </w:rPr>
        <w:t xml:space="preserve">określonych w Formularzu Nr </w:t>
      </w:r>
      <w:r w:rsidR="00E03AE8" w:rsidRPr="00CA7550">
        <w:rPr>
          <w:rFonts w:ascii="Times New Roman" w:hAnsi="Times New Roman" w:cs="Times New Roman"/>
        </w:rPr>
        <w:t>1</w:t>
      </w:r>
      <w:r w:rsidR="00D12B1B" w:rsidRPr="00CA7550">
        <w:rPr>
          <w:rFonts w:ascii="Times New Roman" w:hAnsi="Times New Roman" w:cs="Times New Roman"/>
        </w:rPr>
        <w:t>).</w:t>
      </w:r>
    </w:p>
    <w:p w:rsidR="00D4418E" w:rsidRPr="00CA7550" w:rsidRDefault="00D4418E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:rsidR="00D12B1B" w:rsidRPr="00CA7550" w:rsidRDefault="00D4237C" w:rsidP="00A0389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CA7550">
        <w:rPr>
          <w:rFonts w:ascii="Times New Roman" w:hAnsi="Times New Roman" w:cs="Times New Roman"/>
          <w:b/>
        </w:rPr>
        <w:t>2</w:t>
      </w:r>
      <w:r w:rsidR="00BF46FD" w:rsidRPr="00CA7550">
        <w:rPr>
          <w:rFonts w:ascii="Times New Roman" w:hAnsi="Times New Roman" w:cs="Times New Roman"/>
          <w:b/>
        </w:rPr>
        <w:t>8</w:t>
      </w:r>
      <w:r w:rsidR="00D12B1B" w:rsidRPr="00CA7550">
        <w:rPr>
          <w:rFonts w:ascii="Times New Roman" w:hAnsi="Times New Roman" w:cs="Times New Roman"/>
          <w:b/>
        </w:rPr>
        <w:t>.</w:t>
      </w:r>
      <w:r w:rsidR="00D12B1B" w:rsidRPr="00CA7550">
        <w:rPr>
          <w:rFonts w:ascii="Times New Roman" w:hAnsi="Times New Roman" w:cs="Times New Roman"/>
          <w:b/>
        </w:rPr>
        <w:tab/>
      </w:r>
      <w:r w:rsidR="00A413C1" w:rsidRPr="00CA7550">
        <w:rPr>
          <w:rFonts w:ascii="Times New Roman" w:hAnsi="Times New Roman" w:cs="Times New Roman"/>
          <w:b/>
        </w:rPr>
        <w:t xml:space="preserve"> </w:t>
      </w:r>
      <w:r w:rsidR="00D12B1B" w:rsidRPr="00CA7550">
        <w:rPr>
          <w:rFonts w:ascii="Times New Roman" w:hAnsi="Times New Roman" w:cs="Times New Roman"/>
          <w:b/>
        </w:rPr>
        <w:t>Automatyczny analizator umożliwiający wykonanie następujących badań:</w:t>
      </w:r>
    </w:p>
    <w:p w:rsidR="00D12B1B" w:rsidRPr="00CA7550" w:rsidRDefault="00D12B1B" w:rsidP="009D7066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lastRenderedPageBreak/>
        <w:t>Grupa</w:t>
      </w:r>
      <w:r w:rsidR="00633E72" w:rsidRPr="00CA7550">
        <w:rPr>
          <w:rFonts w:ascii="Times New Roman" w:hAnsi="Times New Roman" w:cs="Times New Roman"/>
        </w:rPr>
        <w:t xml:space="preserve"> </w:t>
      </w:r>
      <w:r w:rsidRPr="00CA7550">
        <w:rPr>
          <w:rFonts w:ascii="Times New Roman" w:hAnsi="Times New Roman" w:cs="Times New Roman"/>
        </w:rPr>
        <w:t>krwi układu ABO z użyciem odczynników monoklonalnych przeznaczonych do oznaczenia tego układu, oznaczenie izoaglutynin grupowych krwinkami A</w:t>
      </w:r>
      <w:r w:rsidR="00FD1DF9" w:rsidRPr="00CA7550">
        <w:rPr>
          <w:rFonts w:ascii="Times New Roman" w:hAnsi="Times New Roman" w:cs="Times New Roman"/>
        </w:rPr>
        <w:t>1</w:t>
      </w:r>
      <w:r w:rsidR="00CF07A8" w:rsidRPr="00CA7550">
        <w:rPr>
          <w:rFonts w:ascii="Times New Roman" w:hAnsi="Times New Roman" w:cs="Times New Roman"/>
        </w:rPr>
        <w:t xml:space="preserve"> i </w:t>
      </w:r>
      <w:r w:rsidRPr="00CA7550">
        <w:rPr>
          <w:rFonts w:ascii="Times New Roman" w:hAnsi="Times New Roman" w:cs="Times New Roman"/>
        </w:rPr>
        <w:t>B</w:t>
      </w:r>
      <w:r w:rsidR="00BF46FD" w:rsidRPr="00CA7550">
        <w:rPr>
          <w:rFonts w:ascii="Times New Roman" w:hAnsi="Times New Roman" w:cs="Times New Roman"/>
        </w:rPr>
        <w:t xml:space="preserve"> </w:t>
      </w:r>
      <w:r w:rsidRPr="00CA7550">
        <w:rPr>
          <w:rFonts w:ascii="Times New Roman" w:hAnsi="Times New Roman" w:cs="Times New Roman"/>
        </w:rPr>
        <w:t>- mikrokarty.</w:t>
      </w:r>
      <w:r w:rsidR="000C5F4C" w:rsidRPr="00CA7550">
        <w:rPr>
          <w:rFonts w:ascii="Times New Roman" w:hAnsi="Times New Roman" w:cs="Times New Roman"/>
        </w:rPr>
        <w:t xml:space="preserve"> Odczynniki monoklonalne umożliwiające wykrycie słabej ekspresji antygenów A i B z układu ABO.</w:t>
      </w:r>
    </w:p>
    <w:p w:rsidR="00D12B1B" w:rsidRPr="00CA7550" w:rsidRDefault="00D12B1B" w:rsidP="00615EFC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 xml:space="preserve">Antygen </w:t>
      </w:r>
      <w:proofErr w:type="spellStart"/>
      <w:r w:rsidRPr="00CA7550">
        <w:rPr>
          <w:rFonts w:ascii="Times New Roman" w:hAnsi="Times New Roman" w:cs="Times New Roman"/>
        </w:rPr>
        <w:t>RhD</w:t>
      </w:r>
      <w:proofErr w:type="spellEnd"/>
      <w:r w:rsidRPr="00CA7550">
        <w:rPr>
          <w:rFonts w:ascii="Times New Roman" w:hAnsi="Times New Roman" w:cs="Times New Roman"/>
        </w:rPr>
        <w:t xml:space="preserve"> z użyciem dwóch serii odczynników monoklonalnych odpowiednio anty-D</w:t>
      </w:r>
      <w:r w:rsidR="00B561E7" w:rsidRPr="00CA7550">
        <w:rPr>
          <w:rFonts w:ascii="Times New Roman" w:hAnsi="Times New Roman" w:cs="Times New Roman"/>
          <w:vertAlign w:val="superscript"/>
        </w:rPr>
        <w:t>VI+</w:t>
      </w:r>
      <w:r w:rsidR="00B561E7" w:rsidRPr="00CA7550">
        <w:rPr>
          <w:rFonts w:ascii="Times New Roman" w:hAnsi="Times New Roman" w:cs="Times New Roman"/>
        </w:rPr>
        <w:t xml:space="preserve"> i anty-D</w:t>
      </w:r>
      <w:r w:rsidR="00B561E7" w:rsidRPr="00CA7550">
        <w:rPr>
          <w:rFonts w:ascii="Times New Roman" w:hAnsi="Times New Roman" w:cs="Times New Roman"/>
          <w:vertAlign w:val="superscript"/>
        </w:rPr>
        <w:t>VI-</w:t>
      </w:r>
      <w:r w:rsidRPr="00CA7550">
        <w:rPr>
          <w:rFonts w:ascii="Times New Roman" w:hAnsi="Times New Roman" w:cs="Times New Roman"/>
        </w:rPr>
        <w:t xml:space="preserve"> </w:t>
      </w:r>
      <w:r w:rsidR="00B561E7" w:rsidRPr="00CA7550">
        <w:rPr>
          <w:rFonts w:ascii="Times New Roman" w:hAnsi="Times New Roman" w:cs="Times New Roman"/>
        </w:rPr>
        <w:t xml:space="preserve">– </w:t>
      </w:r>
      <w:r w:rsidRPr="00CA7550">
        <w:rPr>
          <w:rFonts w:ascii="Times New Roman" w:hAnsi="Times New Roman" w:cs="Times New Roman"/>
        </w:rPr>
        <w:t>mikrokarty.</w:t>
      </w:r>
      <w:r w:rsidR="000C5F4C" w:rsidRPr="00CA7550">
        <w:rPr>
          <w:rFonts w:ascii="Times New Roman" w:hAnsi="Times New Roman" w:cs="Times New Roman"/>
        </w:rPr>
        <w:t xml:space="preserve"> Odczynniki monoklonalne umożliwiające wykrycie słabej ekspresji antygenu </w:t>
      </w:r>
      <w:proofErr w:type="spellStart"/>
      <w:r w:rsidR="000C5F4C" w:rsidRPr="00CA7550">
        <w:rPr>
          <w:rFonts w:ascii="Times New Roman" w:hAnsi="Times New Roman" w:cs="Times New Roman"/>
        </w:rPr>
        <w:t>RhD</w:t>
      </w:r>
      <w:proofErr w:type="spellEnd"/>
      <w:r w:rsidR="000C5F4C" w:rsidRPr="00CA7550">
        <w:rPr>
          <w:rFonts w:ascii="Times New Roman" w:hAnsi="Times New Roman" w:cs="Times New Roman"/>
        </w:rPr>
        <w:t>.</w:t>
      </w:r>
    </w:p>
    <w:p w:rsidR="00D12B1B" w:rsidRPr="00CA7550" w:rsidRDefault="00D12B1B" w:rsidP="009D7066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Potwierdzenie</w:t>
      </w:r>
      <w:r w:rsidR="00633E72" w:rsidRPr="00CA7550">
        <w:rPr>
          <w:rFonts w:ascii="Times New Roman" w:hAnsi="Times New Roman" w:cs="Times New Roman"/>
        </w:rPr>
        <w:t xml:space="preserve"> </w:t>
      </w:r>
      <w:r w:rsidRPr="00CA7550">
        <w:rPr>
          <w:rFonts w:ascii="Times New Roman" w:hAnsi="Times New Roman" w:cs="Times New Roman"/>
        </w:rPr>
        <w:t xml:space="preserve">antygenów grupy krwi układu ABO i </w:t>
      </w:r>
      <w:proofErr w:type="spellStart"/>
      <w:r w:rsidRPr="00CA7550">
        <w:rPr>
          <w:rFonts w:ascii="Times New Roman" w:hAnsi="Times New Roman" w:cs="Times New Roman"/>
        </w:rPr>
        <w:t>RhD</w:t>
      </w:r>
      <w:proofErr w:type="spellEnd"/>
      <w:r w:rsidRPr="00CA7550">
        <w:rPr>
          <w:rFonts w:ascii="Times New Roman" w:hAnsi="Times New Roman" w:cs="Times New Roman"/>
        </w:rPr>
        <w:t xml:space="preserve"> z użyciem odczynników monoklonalnych w tym anty-D</w:t>
      </w:r>
      <w:r w:rsidRPr="00CA7550">
        <w:rPr>
          <w:rFonts w:ascii="Times New Roman" w:hAnsi="Times New Roman" w:cs="Times New Roman"/>
          <w:vertAlign w:val="superscript"/>
        </w:rPr>
        <w:t>VI+</w:t>
      </w:r>
      <w:r w:rsidRPr="00CA7550">
        <w:rPr>
          <w:rFonts w:ascii="Times New Roman" w:hAnsi="Times New Roman" w:cs="Times New Roman"/>
        </w:rPr>
        <w:t>.</w:t>
      </w:r>
    </w:p>
    <w:p w:rsidR="006622C8" w:rsidRPr="00CA7550" w:rsidRDefault="006622C8" w:rsidP="006622C8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 xml:space="preserve">Potwierdzenie antygenów grupy krwi układu ABO i </w:t>
      </w:r>
      <w:proofErr w:type="spellStart"/>
      <w:r w:rsidRPr="00CA7550">
        <w:rPr>
          <w:rFonts w:ascii="Times New Roman" w:hAnsi="Times New Roman" w:cs="Times New Roman"/>
        </w:rPr>
        <w:t>RhD</w:t>
      </w:r>
      <w:proofErr w:type="spellEnd"/>
      <w:r w:rsidRPr="00CA7550">
        <w:rPr>
          <w:rFonts w:ascii="Times New Roman" w:hAnsi="Times New Roman" w:cs="Times New Roman"/>
        </w:rPr>
        <w:t xml:space="preserve"> z użyciem odczynników monoklonalnych w tym anty-D</w:t>
      </w:r>
      <w:r w:rsidRPr="00CA7550">
        <w:rPr>
          <w:rFonts w:ascii="Times New Roman" w:hAnsi="Times New Roman" w:cs="Times New Roman"/>
          <w:vertAlign w:val="superscript"/>
        </w:rPr>
        <w:t>VI-</w:t>
      </w:r>
      <w:r w:rsidRPr="00CA7550">
        <w:rPr>
          <w:rFonts w:ascii="Times New Roman" w:hAnsi="Times New Roman" w:cs="Times New Roman"/>
        </w:rPr>
        <w:t xml:space="preserve"> – mikrokarty.</w:t>
      </w:r>
    </w:p>
    <w:p w:rsidR="00D12B1B" w:rsidRPr="00CA7550" w:rsidRDefault="00D12B1B" w:rsidP="009D7066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 xml:space="preserve">Badanie przeglądowe na obecność przeciwciał w pośrednim teście </w:t>
      </w:r>
      <w:proofErr w:type="spellStart"/>
      <w:r w:rsidRPr="00CA7550">
        <w:rPr>
          <w:rFonts w:ascii="Times New Roman" w:hAnsi="Times New Roman" w:cs="Times New Roman"/>
        </w:rPr>
        <w:t>antyglobulinowym</w:t>
      </w:r>
      <w:proofErr w:type="spellEnd"/>
      <w:r w:rsidRPr="00CA7550">
        <w:rPr>
          <w:rFonts w:ascii="Times New Roman" w:hAnsi="Times New Roman" w:cs="Times New Roman"/>
        </w:rPr>
        <w:t xml:space="preserve"> przy użyciu </w:t>
      </w:r>
      <w:r w:rsidR="001B7E38" w:rsidRPr="00CA7550">
        <w:rPr>
          <w:rFonts w:ascii="Times New Roman" w:hAnsi="Times New Roman" w:cs="Times New Roman"/>
        </w:rPr>
        <w:t xml:space="preserve">krwinek </w:t>
      </w:r>
      <w:r w:rsidR="00633E72" w:rsidRPr="00CA7550">
        <w:rPr>
          <w:rFonts w:ascii="Times New Roman" w:hAnsi="Times New Roman" w:cs="Times New Roman"/>
        </w:rPr>
        <w:t>wzorcowych</w:t>
      </w:r>
      <w:r w:rsidRPr="00CA7550">
        <w:rPr>
          <w:rFonts w:ascii="Times New Roman" w:hAnsi="Times New Roman" w:cs="Times New Roman"/>
        </w:rPr>
        <w:t xml:space="preserve"> - mikrokarty.</w:t>
      </w:r>
    </w:p>
    <w:p w:rsidR="00615EFC" w:rsidRPr="00CA7550" w:rsidRDefault="00615EFC" w:rsidP="009D7066">
      <w:pPr>
        <w:pStyle w:val="Akapitzlist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 xml:space="preserve">Bezpośredni test </w:t>
      </w:r>
      <w:proofErr w:type="spellStart"/>
      <w:r w:rsidRPr="00CA7550">
        <w:rPr>
          <w:rFonts w:ascii="Times New Roman" w:hAnsi="Times New Roman" w:cs="Times New Roman"/>
        </w:rPr>
        <w:t>antyglobulinowy</w:t>
      </w:r>
      <w:proofErr w:type="spellEnd"/>
      <w:r w:rsidRPr="00CA7550">
        <w:rPr>
          <w:rFonts w:ascii="Times New Roman" w:hAnsi="Times New Roman" w:cs="Times New Roman"/>
        </w:rPr>
        <w:t xml:space="preserve"> BTA.</w:t>
      </w:r>
    </w:p>
    <w:p w:rsidR="0069460B" w:rsidRPr="00CA7550" w:rsidRDefault="00BF46FD" w:rsidP="0069460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CA7550">
        <w:rPr>
          <w:rFonts w:ascii="Times New Roman" w:hAnsi="Times New Roman" w:cs="Times New Roman"/>
          <w:color w:val="000000" w:themeColor="text1"/>
        </w:rPr>
        <w:t>29</w:t>
      </w:r>
      <w:r w:rsidR="0069460B" w:rsidRPr="00CA7550">
        <w:rPr>
          <w:rFonts w:ascii="Times New Roman" w:hAnsi="Times New Roman" w:cs="Times New Roman"/>
          <w:color w:val="000000" w:themeColor="text1"/>
        </w:rPr>
        <w:t xml:space="preserve">.Dostawa odczynników i kart transportem monitorowanym pod względem temperatury </w:t>
      </w:r>
      <w:r w:rsidR="0069460B" w:rsidRPr="00CA7550">
        <w:rPr>
          <w:rFonts w:ascii="Times New Roman" w:hAnsi="Times New Roman" w:cs="Times New Roman"/>
          <w:color w:val="000000" w:themeColor="text1"/>
        </w:rPr>
        <w:br/>
        <w:t>2-8</w:t>
      </w:r>
      <w:r w:rsidR="0069460B" w:rsidRPr="00CA7550">
        <w:rPr>
          <w:rFonts w:ascii="Times New Roman" w:hAnsi="Times New Roman" w:cs="Times New Roman"/>
          <w:color w:val="000000" w:themeColor="text1"/>
          <w:vertAlign w:val="superscript"/>
        </w:rPr>
        <w:t>o</w:t>
      </w:r>
      <w:r w:rsidR="0069460B" w:rsidRPr="00CA7550">
        <w:rPr>
          <w:rFonts w:ascii="Times New Roman" w:hAnsi="Times New Roman" w:cs="Times New Roman"/>
          <w:color w:val="000000" w:themeColor="text1"/>
        </w:rPr>
        <w:t>C - jeżeli dotyczy.</w:t>
      </w:r>
    </w:p>
    <w:p w:rsidR="00D12B1B" w:rsidRPr="00CA7550" w:rsidRDefault="00D12B1B" w:rsidP="00A038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A7550">
        <w:rPr>
          <w:rFonts w:ascii="Times New Roman" w:hAnsi="Times New Roman" w:cs="Times New Roman"/>
          <w:b/>
        </w:rPr>
        <w:t>2.</w:t>
      </w:r>
      <w:r w:rsidRPr="00CA7550">
        <w:rPr>
          <w:rFonts w:ascii="Times New Roman" w:hAnsi="Times New Roman" w:cs="Times New Roman"/>
          <w:b/>
        </w:rPr>
        <w:tab/>
        <w:t xml:space="preserve">W ramach dzierżawy </w:t>
      </w:r>
      <w:r w:rsidR="000C5F4C" w:rsidRPr="00CA7550">
        <w:rPr>
          <w:rFonts w:ascii="Times New Roman" w:hAnsi="Times New Roman" w:cs="Times New Roman"/>
          <w:b/>
        </w:rPr>
        <w:t>analizatora</w:t>
      </w:r>
      <w:r w:rsidRPr="00CA7550">
        <w:rPr>
          <w:rFonts w:ascii="Times New Roman" w:hAnsi="Times New Roman" w:cs="Times New Roman"/>
          <w:b/>
        </w:rPr>
        <w:t xml:space="preserve"> Wykonawca dostarczy:</w:t>
      </w:r>
    </w:p>
    <w:p w:rsidR="00F127C1" w:rsidRPr="00CA7550" w:rsidRDefault="00B561E7" w:rsidP="00A03899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</w:t>
      </w:r>
      <w:r w:rsidRPr="00CA7550">
        <w:rPr>
          <w:rFonts w:ascii="Times New Roman" w:hAnsi="Times New Roman" w:cs="Times New Roman"/>
        </w:rPr>
        <w:tab/>
      </w:r>
      <w:r w:rsidR="00F127C1" w:rsidRPr="00CA7550">
        <w:rPr>
          <w:rFonts w:ascii="Times New Roman" w:hAnsi="Times New Roman" w:cs="Times New Roman"/>
        </w:rPr>
        <w:t xml:space="preserve">Analizator </w:t>
      </w:r>
      <w:r w:rsidR="00BF46FD" w:rsidRPr="00CA7550">
        <w:rPr>
          <w:rFonts w:ascii="Times New Roman" w:hAnsi="Times New Roman" w:cs="Times New Roman"/>
        </w:rPr>
        <w:t>nowy</w:t>
      </w:r>
      <w:r w:rsidR="00F127C1" w:rsidRPr="00CA7550">
        <w:rPr>
          <w:rFonts w:ascii="Times New Roman" w:hAnsi="Times New Roman" w:cs="Times New Roman"/>
        </w:rPr>
        <w:t>.</w:t>
      </w:r>
    </w:p>
    <w:p w:rsidR="00D12B1B" w:rsidRPr="00CA7550" w:rsidRDefault="00B561E7" w:rsidP="00A03899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</w:t>
      </w:r>
      <w:r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Automatyczny analizator z UPS do określania antygenów i przeciwciał odporn</w:t>
      </w:r>
      <w:r w:rsidR="00226998" w:rsidRPr="00CA7550">
        <w:rPr>
          <w:rFonts w:ascii="Times New Roman" w:hAnsi="Times New Roman" w:cs="Times New Roman"/>
        </w:rPr>
        <w:t>ościowych do krwinek czerwonych</w:t>
      </w:r>
      <w:r w:rsidR="00D12B1B" w:rsidRPr="00CA7550">
        <w:rPr>
          <w:rFonts w:ascii="Times New Roman" w:hAnsi="Times New Roman" w:cs="Times New Roman"/>
        </w:rPr>
        <w:t>.</w:t>
      </w:r>
    </w:p>
    <w:p w:rsidR="00226998" w:rsidRPr="00CA7550" w:rsidRDefault="00B561E7" w:rsidP="00A03899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</w:t>
      </w:r>
      <w:r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Komputer do rejestrowania wyników badań nadający się do współpracy z</w:t>
      </w:r>
      <w:r w:rsidR="000C5F4C" w:rsidRPr="00CA7550">
        <w:rPr>
          <w:rFonts w:ascii="Times New Roman" w:hAnsi="Times New Roman" w:cs="Times New Roman"/>
        </w:rPr>
        <w:t xml:space="preserve"> systemem w SP ZOZ MSWiA </w:t>
      </w:r>
      <w:r w:rsidR="00D12B1B" w:rsidRPr="00CA7550">
        <w:rPr>
          <w:rFonts w:ascii="Times New Roman" w:hAnsi="Times New Roman" w:cs="Times New Roman"/>
        </w:rPr>
        <w:t>wraz z monitorem LCD</w:t>
      </w:r>
      <w:r w:rsidR="00C80541" w:rsidRPr="00CA7550">
        <w:rPr>
          <w:rFonts w:ascii="Times New Roman" w:hAnsi="Times New Roman" w:cs="Times New Roman"/>
        </w:rPr>
        <w:t xml:space="preserve"> (poj. twardego dysku min. 500 GB)</w:t>
      </w:r>
      <w:r w:rsidR="00D12B1B" w:rsidRPr="00CA7550">
        <w:rPr>
          <w:rFonts w:ascii="Times New Roman" w:hAnsi="Times New Roman" w:cs="Times New Roman"/>
        </w:rPr>
        <w:t>, klawiaturą, myszą optyczną, ręcznym skanerem kodów kreskowych (ISBT 128), drukarką laserową oraz materi</w:t>
      </w:r>
      <w:r w:rsidR="003A30BF" w:rsidRPr="00CA7550">
        <w:rPr>
          <w:rFonts w:ascii="Times New Roman" w:hAnsi="Times New Roman" w:cs="Times New Roman"/>
        </w:rPr>
        <w:t>ałami eksploatacyjnymi (</w:t>
      </w:r>
      <w:r w:rsidR="00D12B1B" w:rsidRPr="00CA7550">
        <w:rPr>
          <w:rFonts w:ascii="Times New Roman" w:hAnsi="Times New Roman" w:cs="Times New Roman"/>
        </w:rPr>
        <w:t>tonery</w:t>
      </w:r>
      <w:r w:rsidR="003A30BF" w:rsidRPr="00CA7550">
        <w:rPr>
          <w:rFonts w:ascii="Times New Roman" w:hAnsi="Times New Roman" w:cs="Times New Roman"/>
        </w:rPr>
        <w:t>, bębny itp.</w:t>
      </w:r>
      <w:r w:rsidR="00D12B1B" w:rsidRPr="00CA7550">
        <w:rPr>
          <w:rFonts w:ascii="Times New Roman" w:hAnsi="Times New Roman" w:cs="Times New Roman"/>
        </w:rPr>
        <w:t>) do wydruku wyników dla całkowitej ilości oznaczeń bę</w:t>
      </w:r>
      <w:r w:rsidR="00226998" w:rsidRPr="00CA7550">
        <w:rPr>
          <w:rFonts w:ascii="Times New Roman" w:hAnsi="Times New Roman" w:cs="Times New Roman"/>
        </w:rPr>
        <w:t>dących przedmiotem postępowania</w:t>
      </w:r>
      <w:r w:rsidR="000C5F4C" w:rsidRPr="00CA7550">
        <w:rPr>
          <w:rFonts w:ascii="Times New Roman" w:hAnsi="Times New Roman" w:cs="Times New Roman"/>
        </w:rPr>
        <w:t xml:space="preserve">, </w:t>
      </w:r>
    </w:p>
    <w:p w:rsidR="00D12B1B" w:rsidRPr="00CA7550" w:rsidRDefault="00226998" w:rsidP="00A03899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</w:t>
      </w:r>
      <w:r w:rsidR="00B561E7"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System oraz sprzęt umożliwiający pełen odczyt wyników badań</w:t>
      </w:r>
      <w:r w:rsidR="00D4418E" w:rsidRPr="00CA7550">
        <w:rPr>
          <w:rFonts w:ascii="Times New Roman" w:hAnsi="Times New Roman" w:cs="Times New Roman"/>
        </w:rPr>
        <w:t>.</w:t>
      </w:r>
    </w:p>
    <w:p w:rsidR="00D12B1B" w:rsidRPr="00CA7550" w:rsidRDefault="00B561E7" w:rsidP="00A03899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</w:t>
      </w:r>
      <w:r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Instrukcję obsługi i konserwacji analizatora w języku polskim.</w:t>
      </w:r>
    </w:p>
    <w:p w:rsidR="00D12B1B" w:rsidRPr="00CA7550" w:rsidRDefault="00B561E7" w:rsidP="00A03899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</w:t>
      </w:r>
      <w:r w:rsidRPr="00CA7550">
        <w:rPr>
          <w:rFonts w:ascii="Times New Roman" w:hAnsi="Times New Roman" w:cs="Times New Roman"/>
        </w:rPr>
        <w:tab/>
      </w:r>
      <w:r w:rsidR="00D12B1B" w:rsidRPr="00CA7550">
        <w:rPr>
          <w:rFonts w:ascii="Times New Roman" w:hAnsi="Times New Roman" w:cs="Times New Roman"/>
        </w:rPr>
        <w:t>Odczynniki ko</w:t>
      </w:r>
      <w:r w:rsidR="008C3709" w:rsidRPr="00CA7550">
        <w:rPr>
          <w:rFonts w:ascii="Times New Roman" w:hAnsi="Times New Roman" w:cs="Times New Roman"/>
        </w:rPr>
        <w:t xml:space="preserve">nieczne do oznaczeń grup krwi, </w:t>
      </w:r>
      <w:r w:rsidR="00D12B1B" w:rsidRPr="00CA7550">
        <w:rPr>
          <w:rFonts w:ascii="Times New Roman" w:hAnsi="Times New Roman" w:cs="Times New Roman"/>
        </w:rPr>
        <w:t>antygenów</w:t>
      </w:r>
      <w:r w:rsidR="008C3709" w:rsidRPr="00CA7550">
        <w:rPr>
          <w:rFonts w:ascii="Times New Roman" w:hAnsi="Times New Roman" w:cs="Times New Roman"/>
        </w:rPr>
        <w:t xml:space="preserve"> i wykrywania przeciwciał</w:t>
      </w:r>
      <w:r w:rsidR="00D12B1B" w:rsidRPr="00CA7550">
        <w:rPr>
          <w:rFonts w:ascii="Times New Roman" w:hAnsi="Times New Roman" w:cs="Times New Roman"/>
        </w:rPr>
        <w:t xml:space="preserve"> oraz pracy aparatu.</w:t>
      </w:r>
    </w:p>
    <w:p w:rsidR="00314C79" w:rsidRPr="00CA7550" w:rsidRDefault="00314C79" w:rsidP="00A03899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 Możliwość wykorzystania tych samych odczynników w analizatorze podstawowym i analizatorze</w:t>
      </w:r>
      <w:r w:rsidR="000C5F4C" w:rsidRPr="00CA7550">
        <w:rPr>
          <w:rFonts w:ascii="Times New Roman" w:hAnsi="Times New Roman" w:cs="Times New Roman"/>
        </w:rPr>
        <w:t xml:space="preserve"> lub manualnym systemie</w:t>
      </w:r>
      <w:r w:rsidRPr="00CA7550">
        <w:rPr>
          <w:rFonts w:ascii="Times New Roman" w:hAnsi="Times New Roman" w:cs="Times New Roman"/>
        </w:rPr>
        <w:t xml:space="preserve"> </w:t>
      </w:r>
      <w:r w:rsidR="000C5F4C" w:rsidRPr="00CA7550">
        <w:rPr>
          <w:rFonts w:ascii="Times New Roman" w:hAnsi="Times New Roman" w:cs="Times New Roman"/>
        </w:rPr>
        <w:t>„</w:t>
      </w:r>
      <w:proofErr w:type="spellStart"/>
      <w:r w:rsidRPr="00CA7550">
        <w:rPr>
          <w:rFonts w:ascii="Times New Roman" w:hAnsi="Times New Roman" w:cs="Times New Roman"/>
        </w:rPr>
        <w:t>back-up</w:t>
      </w:r>
      <w:proofErr w:type="spellEnd"/>
      <w:r w:rsidR="000C5F4C" w:rsidRPr="00CA7550">
        <w:rPr>
          <w:rFonts w:ascii="Times New Roman" w:hAnsi="Times New Roman" w:cs="Times New Roman"/>
        </w:rPr>
        <w:t>”</w:t>
      </w:r>
      <w:r w:rsidRPr="00CA7550">
        <w:rPr>
          <w:rFonts w:ascii="Times New Roman" w:hAnsi="Times New Roman" w:cs="Times New Roman"/>
        </w:rPr>
        <w:t>.</w:t>
      </w:r>
    </w:p>
    <w:p w:rsidR="00563670" w:rsidRPr="00CA7550" w:rsidRDefault="00B561E7" w:rsidP="008475F9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>-</w:t>
      </w:r>
      <w:r w:rsidRPr="00CA7550">
        <w:rPr>
          <w:rFonts w:ascii="Times New Roman" w:hAnsi="Times New Roman" w:cs="Times New Roman"/>
        </w:rPr>
        <w:tab/>
      </w:r>
      <w:r w:rsidR="00563670" w:rsidRPr="00CA7550">
        <w:rPr>
          <w:rFonts w:ascii="Times New Roman" w:hAnsi="Times New Roman" w:cs="Times New Roman"/>
        </w:rPr>
        <w:t>Drukarka do kodów kreskowych</w:t>
      </w:r>
      <w:r w:rsidR="000C5F4C" w:rsidRPr="00CA7550">
        <w:rPr>
          <w:rFonts w:ascii="Times New Roman" w:hAnsi="Times New Roman" w:cs="Times New Roman"/>
        </w:rPr>
        <w:t xml:space="preserve"> wraz z materiałami eksploatacyjnymi.</w:t>
      </w:r>
    </w:p>
    <w:p w:rsidR="00563670" w:rsidRPr="00CA7550" w:rsidRDefault="00563670" w:rsidP="00A03899">
      <w:pPr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</w:rPr>
        <w:t xml:space="preserve">- </w:t>
      </w:r>
      <w:r w:rsidR="00D17100" w:rsidRPr="00CA7550">
        <w:rPr>
          <w:rFonts w:ascii="Times New Roman" w:hAnsi="Times New Roman" w:cs="Times New Roman"/>
        </w:rPr>
        <w:t xml:space="preserve">dostarczenie urządzenia </w:t>
      </w:r>
      <w:proofErr w:type="spellStart"/>
      <w:r w:rsidR="00387464" w:rsidRPr="00CA7550">
        <w:rPr>
          <w:rFonts w:ascii="Times New Roman" w:hAnsi="Times New Roman" w:cs="Times New Roman"/>
        </w:rPr>
        <w:t>b</w:t>
      </w:r>
      <w:r w:rsidR="00BF46FD" w:rsidRPr="00CA7550">
        <w:rPr>
          <w:rFonts w:ascii="Times New Roman" w:hAnsi="Times New Roman" w:cs="Times New Roman"/>
        </w:rPr>
        <w:t>a</w:t>
      </w:r>
      <w:r w:rsidRPr="00CA7550">
        <w:rPr>
          <w:rFonts w:ascii="Times New Roman" w:hAnsi="Times New Roman" w:cs="Times New Roman"/>
        </w:rPr>
        <w:t>ck</w:t>
      </w:r>
      <w:r w:rsidR="00BF46FD" w:rsidRPr="00CA7550">
        <w:rPr>
          <w:rFonts w:ascii="Times New Roman" w:hAnsi="Times New Roman" w:cs="Times New Roman"/>
        </w:rPr>
        <w:t>-</w:t>
      </w:r>
      <w:r w:rsidR="00387464" w:rsidRPr="00CA7550">
        <w:rPr>
          <w:rFonts w:ascii="Times New Roman" w:hAnsi="Times New Roman" w:cs="Times New Roman"/>
        </w:rPr>
        <w:t>u</w:t>
      </w:r>
      <w:r w:rsidRPr="00CA7550">
        <w:rPr>
          <w:rFonts w:ascii="Times New Roman" w:hAnsi="Times New Roman" w:cs="Times New Roman"/>
        </w:rPr>
        <w:t>p</w:t>
      </w:r>
      <w:proofErr w:type="spellEnd"/>
      <w:r w:rsidR="00D17100" w:rsidRPr="00CA7550">
        <w:rPr>
          <w:rFonts w:ascii="Times New Roman" w:hAnsi="Times New Roman" w:cs="Times New Roman"/>
        </w:rPr>
        <w:t xml:space="preserve"> w postaci </w:t>
      </w:r>
      <w:r w:rsidR="008475F9" w:rsidRPr="00CA7550">
        <w:rPr>
          <w:rFonts w:ascii="Times New Roman" w:hAnsi="Times New Roman" w:cs="Times New Roman"/>
        </w:rPr>
        <w:t xml:space="preserve">nowego analizatora immunohematologicznego o pojemności co najmniej </w:t>
      </w:r>
      <w:r w:rsidR="000C5F4C" w:rsidRPr="00CA7550">
        <w:rPr>
          <w:rFonts w:ascii="Times New Roman" w:hAnsi="Times New Roman" w:cs="Times New Roman"/>
        </w:rPr>
        <w:t>40 próbek</w:t>
      </w:r>
      <w:r w:rsidR="008475F9" w:rsidRPr="00CA7550">
        <w:rPr>
          <w:rFonts w:ascii="Times New Roman" w:hAnsi="Times New Roman" w:cs="Times New Roman"/>
        </w:rPr>
        <w:t xml:space="preserve"> i wydajności minimum </w:t>
      </w:r>
      <w:r w:rsidR="000C5F4C" w:rsidRPr="00CA7550">
        <w:rPr>
          <w:rFonts w:ascii="Times New Roman" w:hAnsi="Times New Roman" w:cs="Times New Roman"/>
        </w:rPr>
        <w:t>2</w:t>
      </w:r>
      <w:r w:rsidR="008475F9" w:rsidRPr="00CA7550">
        <w:rPr>
          <w:rFonts w:ascii="Times New Roman" w:hAnsi="Times New Roman" w:cs="Times New Roman"/>
        </w:rPr>
        <w:t>0 testów wykrywania przeciwciał na godzinę spełniającego pozostałe wymagania jak analizator podstawowy</w:t>
      </w:r>
      <w:r w:rsidR="000C5F4C" w:rsidRPr="00CA7550">
        <w:rPr>
          <w:rFonts w:ascii="Times New Roman" w:hAnsi="Times New Roman" w:cs="Times New Roman"/>
        </w:rPr>
        <w:t xml:space="preserve"> lub sprzętu i akcesoriów do wykonywania </w:t>
      </w:r>
      <w:r w:rsidR="000415BD" w:rsidRPr="00CA7550">
        <w:rPr>
          <w:rFonts w:ascii="Times New Roman" w:hAnsi="Times New Roman" w:cs="Times New Roman"/>
        </w:rPr>
        <w:t xml:space="preserve">manualnych </w:t>
      </w:r>
      <w:r w:rsidR="000C5F4C" w:rsidRPr="00CA7550">
        <w:rPr>
          <w:rFonts w:ascii="Times New Roman" w:hAnsi="Times New Roman" w:cs="Times New Roman"/>
        </w:rPr>
        <w:t>oznac</w:t>
      </w:r>
      <w:r w:rsidR="000415BD" w:rsidRPr="00CA7550">
        <w:rPr>
          <w:rFonts w:ascii="Times New Roman" w:hAnsi="Times New Roman" w:cs="Times New Roman"/>
        </w:rPr>
        <w:t>zeń przez co najmniej 3 osoby jednocześnie.</w:t>
      </w:r>
    </w:p>
    <w:p w:rsidR="005824CE" w:rsidRPr="00CA7550" w:rsidRDefault="00D12B1B" w:rsidP="00A038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A7550">
        <w:rPr>
          <w:rFonts w:ascii="Times New Roman" w:hAnsi="Times New Roman" w:cs="Times New Roman"/>
          <w:b/>
        </w:rPr>
        <w:t>3.</w:t>
      </w:r>
      <w:r w:rsidRPr="00CA7550">
        <w:rPr>
          <w:rFonts w:ascii="Times New Roman" w:hAnsi="Times New Roman" w:cs="Times New Roman"/>
          <w:b/>
        </w:rPr>
        <w:tab/>
        <w:t xml:space="preserve">Wykonawca podłączy i uruchomi automatyczny analizator do badań immunohematologicznych oraz przeszkoli personel w zakresie obsługi urządzenia w siedzibie </w:t>
      </w:r>
      <w:r w:rsidR="000415BD" w:rsidRPr="00CA7550">
        <w:rPr>
          <w:rFonts w:ascii="Times New Roman" w:hAnsi="Times New Roman" w:cs="Times New Roman"/>
          <w:b/>
        </w:rPr>
        <w:t xml:space="preserve">SP ZOZ </w:t>
      </w:r>
      <w:proofErr w:type="spellStart"/>
      <w:r w:rsidR="000415BD" w:rsidRPr="00CA7550">
        <w:rPr>
          <w:rFonts w:ascii="Times New Roman" w:hAnsi="Times New Roman" w:cs="Times New Roman"/>
          <w:b/>
        </w:rPr>
        <w:t>MSWiA</w:t>
      </w:r>
      <w:proofErr w:type="spellEnd"/>
      <w:r w:rsidRPr="00CA7550">
        <w:rPr>
          <w:rFonts w:ascii="Times New Roman" w:hAnsi="Times New Roman" w:cs="Times New Roman"/>
          <w:b/>
        </w:rPr>
        <w:t xml:space="preserve"> w Poznaniu.</w:t>
      </w:r>
    </w:p>
    <w:p w:rsidR="00F7444C" w:rsidRPr="00CA7550" w:rsidRDefault="00F7444C" w:rsidP="00A0389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A7550">
        <w:rPr>
          <w:rFonts w:ascii="Times New Roman" w:hAnsi="Times New Roman" w:cs="Times New Roman"/>
          <w:b/>
        </w:rPr>
        <w:t>4. Wykonawca w ramach przedmiotu zamówienia zapewni serwis gwarancyjny analizatora oraz wykonywanie walidacji urządzeń wchodzących w skład przedmiotu zamówienia przez cały czas trwania dzierżawy w cenie oferty.</w:t>
      </w:r>
    </w:p>
    <w:p w:rsidR="00C10743" w:rsidRPr="00CA7550" w:rsidRDefault="00C10743" w:rsidP="006628DA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</w:rPr>
      </w:pPr>
      <w:r w:rsidRPr="00CA7550">
        <w:rPr>
          <w:rFonts w:ascii="Times New Roman" w:hAnsi="Times New Roman" w:cs="Times New Roman"/>
          <w:b/>
          <w:color w:val="000000"/>
        </w:rPr>
        <w:t>Parametry punktowane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4678"/>
        <w:gridCol w:w="2521"/>
        <w:gridCol w:w="1130"/>
      </w:tblGrid>
      <w:tr w:rsidR="00C10743" w:rsidRPr="00CA7550" w:rsidTr="00F7460B">
        <w:tc>
          <w:tcPr>
            <w:tcW w:w="599" w:type="dxa"/>
            <w:vAlign w:val="center"/>
          </w:tcPr>
          <w:p w:rsidR="00C10743" w:rsidRPr="00CA7550" w:rsidRDefault="00C10743" w:rsidP="00F746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LP</w:t>
            </w:r>
          </w:p>
        </w:tc>
        <w:tc>
          <w:tcPr>
            <w:tcW w:w="4678" w:type="dxa"/>
            <w:vAlign w:val="center"/>
          </w:tcPr>
          <w:p w:rsidR="00C10743" w:rsidRPr="00CA7550" w:rsidRDefault="00C10743" w:rsidP="00F746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Parametr</w:t>
            </w:r>
          </w:p>
        </w:tc>
        <w:tc>
          <w:tcPr>
            <w:tcW w:w="2521" w:type="dxa"/>
            <w:vAlign w:val="center"/>
          </w:tcPr>
          <w:p w:rsidR="00C10743" w:rsidRPr="00CA7550" w:rsidRDefault="00C10743" w:rsidP="00F746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Punktacja [Q]</w:t>
            </w:r>
          </w:p>
        </w:tc>
        <w:tc>
          <w:tcPr>
            <w:tcW w:w="1130" w:type="dxa"/>
            <w:vAlign w:val="center"/>
          </w:tcPr>
          <w:p w:rsidR="00C10743" w:rsidRPr="00CA7550" w:rsidRDefault="00C10743" w:rsidP="00F746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Spełnia</w:t>
            </w:r>
          </w:p>
          <w:p w:rsidR="00C10743" w:rsidRPr="00CA7550" w:rsidRDefault="00C10743" w:rsidP="00F7460B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TAK/NIE</w:t>
            </w:r>
          </w:p>
        </w:tc>
      </w:tr>
      <w:tr w:rsidR="00C10743" w:rsidRPr="00CA7550" w:rsidTr="00F7460B">
        <w:tc>
          <w:tcPr>
            <w:tcW w:w="599" w:type="dxa"/>
            <w:vAlign w:val="center"/>
          </w:tcPr>
          <w:p w:rsidR="00C10743" w:rsidRPr="00CA7550" w:rsidRDefault="0069460B" w:rsidP="00C10743">
            <w:pPr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1</w:t>
            </w:r>
            <w:r w:rsidR="00C10743" w:rsidRPr="00CA755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Align w:val="center"/>
          </w:tcPr>
          <w:p w:rsidR="00C10743" w:rsidRPr="00CA7550" w:rsidRDefault="00C10743" w:rsidP="008475F9">
            <w:pPr>
              <w:rPr>
                <w:sz w:val="22"/>
                <w:szCs w:val="22"/>
              </w:rPr>
            </w:pPr>
            <w:bookmarkStart w:id="1" w:name="_Hlk178308"/>
            <w:r w:rsidRPr="00CA7550">
              <w:rPr>
                <w:sz w:val="22"/>
                <w:szCs w:val="22"/>
              </w:rPr>
              <w:t>Odczynniki gotowe do użycia (mikrokarty wypełnione fabrycznie odpowiednimi odczynnikami producenta</w:t>
            </w:r>
            <w:r w:rsidR="008475F9" w:rsidRPr="00CA7550">
              <w:rPr>
                <w:sz w:val="22"/>
                <w:szCs w:val="22"/>
              </w:rPr>
              <w:t>)</w:t>
            </w:r>
            <w:bookmarkEnd w:id="1"/>
          </w:p>
        </w:tc>
        <w:tc>
          <w:tcPr>
            <w:tcW w:w="2521" w:type="dxa"/>
            <w:vAlign w:val="center"/>
          </w:tcPr>
          <w:p w:rsidR="00314C79" w:rsidRPr="00CA7550" w:rsidRDefault="00BC2A6B" w:rsidP="00750526">
            <w:pPr>
              <w:jc w:val="center"/>
              <w:rPr>
                <w:sz w:val="22"/>
                <w:szCs w:val="22"/>
              </w:rPr>
            </w:pPr>
            <w:bookmarkStart w:id="2" w:name="_Hlk178752"/>
            <w:r w:rsidRPr="00CA7550">
              <w:rPr>
                <w:sz w:val="22"/>
                <w:szCs w:val="22"/>
              </w:rPr>
              <w:t>TAK</w:t>
            </w:r>
            <w:r w:rsidR="00EC5B92" w:rsidRPr="00CA7550">
              <w:rPr>
                <w:sz w:val="22"/>
                <w:szCs w:val="22"/>
              </w:rPr>
              <w:t xml:space="preserve"> </w:t>
            </w:r>
            <w:r w:rsidRPr="00CA7550">
              <w:rPr>
                <w:sz w:val="22"/>
                <w:szCs w:val="22"/>
              </w:rPr>
              <w:t xml:space="preserve">- </w:t>
            </w:r>
            <w:r w:rsidR="00750526" w:rsidRPr="00CA7550">
              <w:rPr>
                <w:sz w:val="22"/>
                <w:szCs w:val="22"/>
              </w:rPr>
              <w:t>5</w:t>
            </w:r>
            <w:r w:rsidRPr="00CA7550">
              <w:rPr>
                <w:sz w:val="22"/>
                <w:szCs w:val="22"/>
              </w:rPr>
              <w:t xml:space="preserve"> </w:t>
            </w:r>
            <w:r w:rsidR="00C10743" w:rsidRPr="00CA7550">
              <w:rPr>
                <w:sz w:val="22"/>
                <w:szCs w:val="22"/>
              </w:rPr>
              <w:t>pkt/NIE-0pkt</w:t>
            </w:r>
            <w:bookmarkEnd w:id="2"/>
          </w:p>
        </w:tc>
        <w:tc>
          <w:tcPr>
            <w:tcW w:w="1130" w:type="dxa"/>
            <w:vAlign w:val="center"/>
          </w:tcPr>
          <w:p w:rsidR="00C10743" w:rsidRPr="00CA7550" w:rsidRDefault="00C10743" w:rsidP="00F7460B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10743" w:rsidRPr="00CA7550" w:rsidTr="00CC2278">
        <w:tc>
          <w:tcPr>
            <w:tcW w:w="599" w:type="dxa"/>
            <w:vAlign w:val="center"/>
          </w:tcPr>
          <w:p w:rsidR="00C10743" w:rsidRPr="00CA7550" w:rsidRDefault="0069460B" w:rsidP="00C10743">
            <w:pPr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2</w:t>
            </w:r>
            <w:r w:rsidR="00C10743" w:rsidRPr="00CA755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Align w:val="center"/>
          </w:tcPr>
          <w:p w:rsidR="00C10743" w:rsidRPr="00CA7550" w:rsidRDefault="00C10743" w:rsidP="00B20026">
            <w:pPr>
              <w:rPr>
                <w:sz w:val="22"/>
                <w:szCs w:val="22"/>
              </w:rPr>
            </w:pPr>
            <w:bookmarkStart w:id="3" w:name="_Hlk178338"/>
            <w:r w:rsidRPr="00CA7550">
              <w:rPr>
                <w:sz w:val="22"/>
                <w:szCs w:val="22"/>
              </w:rPr>
              <w:t>Możliwość zdalnej diagnostyki systemu analizatora</w:t>
            </w:r>
            <w:bookmarkEnd w:id="3"/>
          </w:p>
        </w:tc>
        <w:tc>
          <w:tcPr>
            <w:tcW w:w="2521" w:type="dxa"/>
          </w:tcPr>
          <w:p w:rsidR="00C10743" w:rsidRPr="00CA7550" w:rsidRDefault="00C10743" w:rsidP="00720D79">
            <w:pPr>
              <w:jc w:val="center"/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TAK</w:t>
            </w:r>
            <w:r w:rsidR="00BC2A6B" w:rsidRPr="00CA7550">
              <w:rPr>
                <w:sz w:val="22"/>
                <w:szCs w:val="22"/>
              </w:rPr>
              <w:t xml:space="preserve"> -</w:t>
            </w:r>
            <w:r w:rsidR="0020156D" w:rsidRPr="00CA7550">
              <w:rPr>
                <w:sz w:val="22"/>
                <w:szCs w:val="22"/>
              </w:rPr>
              <w:t xml:space="preserve"> </w:t>
            </w:r>
            <w:r w:rsidR="00750526" w:rsidRPr="00CA7550">
              <w:rPr>
                <w:sz w:val="22"/>
                <w:szCs w:val="22"/>
              </w:rPr>
              <w:t>5</w:t>
            </w:r>
            <w:r w:rsidR="00BC2A6B" w:rsidRPr="00CA7550">
              <w:rPr>
                <w:sz w:val="22"/>
                <w:szCs w:val="22"/>
              </w:rPr>
              <w:t xml:space="preserve"> </w:t>
            </w:r>
            <w:r w:rsidRPr="00CA7550">
              <w:rPr>
                <w:sz w:val="22"/>
                <w:szCs w:val="22"/>
              </w:rPr>
              <w:t>pkt/NIE-0pkt</w:t>
            </w:r>
          </w:p>
        </w:tc>
        <w:tc>
          <w:tcPr>
            <w:tcW w:w="1130" w:type="dxa"/>
            <w:vAlign w:val="center"/>
          </w:tcPr>
          <w:p w:rsidR="00C10743" w:rsidRPr="00CA7550" w:rsidRDefault="00C10743" w:rsidP="00F7460B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10743" w:rsidRPr="00CA7550" w:rsidTr="00CC2278">
        <w:tc>
          <w:tcPr>
            <w:tcW w:w="599" w:type="dxa"/>
            <w:vAlign w:val="center"/>
          </w:tcPr>
          <w:p w:rsidR="00C10743" w:rsidRPr="00CA7550" w:rsidRDefault="0069460B" w:rsidP="00C10743">
            <w:pPr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3</w:t>
            </w:r>
            <w:r w:rsidR="00C10743" w:rsidRPr="00CA755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Align w:val="center"/>
          </w:tcPr>
          <w:p w:rsidR="00C10743" w:rsidRPr="00CA7550" w:rsidRDefault="00C10743" w:rsidP="00B20026">
            <w:pPr>
              <w:rPr>
                <w:sz w:val="22"/>
                <w:szCs w:val="22"/>
              </w:rPr>
            </w:pPr>
            <w:bookmarkStart w:id="4" w:name="_Hlk178423"/>
            <w:r w:rsidRPr="00CA7550">
              <w:rPr>
                <w:sz w:val="22"/>
                <w:szCs w:val="22"/>
              </w:rPr>
              <w:t>Dostarczenie podstawowych odczynników w nagłych przypadkach w ciągu dwóch dni roboczych</w:t>
            </w:r>
            <w:bookmarkEnd w:id="4"/>
          </w:p>
        </w:tc>
        <w:tc>
          <w:tcPr>
            <w:tcW w:w="2521" w:type="dxa"/>
          </w:tcPr>
          <w:p w:rsidR="00C10743" w:rsidRPr="00CA7550" w:rsidRDefault="0069460B" w:rsidP="005A74B0">
            <w:pPr>
              <w:jc w:val="center"/>
              <w:rPr>
                <w:sz w:val="22"/>
                <w:szCs w:val="22"/>
              </w:rPr>
            </w:pPr>
            <w:bookmarkStart w:id="5" w:name="_Hlk178813"/>
            <w:r w:rsidRPr="00CA7550">
              <w:rPr>
                <w:sz w:val="22"/>
                <w:szCs w:val="22"/>
              </w:rPr>
              <w:t>TAK-</w:t>
            </w:r>
            <w:r w:rsidR="00475628" w:rsidRPr="00CA7550">
              <w:rPr>
                <w:sz w:val="22"/>
                <w:szCs w:val="22"/>
              </w:rPr>
              <w:t xml:space="preserve"> </w:t>
            </w:r>
            <w:r w:rsidR="00750526" w:rsidRPr="00CA7550">
              <w:rPr>
                <w:sz w:val="22"/>
                <w:szCs w:val="22"/>
              </w:rPr>
              <w:t>10</w:t>
            </w:r>
            <w:r w:rsidR="00475628" w:rsidRPr="00CA7550">
              <w:rPr>
                <w:sz w:val="22"/>
                <w:szCs w:val="22"/>
              </w:rPr>
              <w:t xml:space="preserve"> </w:t>
            </w:r>
            <w:r w:rsidR="00C10743" w:rsidRPr="00CA7550">
              <w:rPr>
                <w:sz w:val="22"/>
                <w:szCs w:val="22"/>
              </w:rPr>
              <w:t>pkt/NIE-0pkt</w:t>
            </w:r>
            <w:bookmarkEnd w:id="5"/>
          </w:p>
        </w:tc>
        <w:tc>
          <w:tcPr>
            <w:tcW w:w="1130" w:type="dxa"/>
            <w:vAlign w:val="center"/>
          </w:tcPr>
          <w:p w:rsidR="00C10743" w:rsidRPr="00CA7550" w:rsidRDefault="00C10743" w:rsidP="00F7460B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10743" w:rsidRPr="00CA7550" w:rsidTr="00CC2278">
        <w:tc>
          <w:tcPr>
            <w:tcW w:w="599" w:type="dxa"/>
            <w:vAlign w:val="center"/>
          </w:tcPr>
          <w:p w:rsidR="00C10743" w:rsidRPr="00CA7550" w:rsidRDefault="0069460B" w:rsidP="00C10743">
            <w:pPr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4</w:t>
            </w:r>
            <w:r w:rsidR="00C10743" w:rsidRPr="00CA755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Align w:val="center"/>
          </w:tcPr>
          <w:p w:rsidR="00C10743" w:rsidRPr="00CA7550" w:rsidRDefault="00C10743" w:rsidP="00B20026">
            <w:pPr>
              <w:rPr>
                <w:sz w:val="22"/>
                <w:szCs w:val="22"/>
              </w:rPr>
            </w:pPr>
            <w:bookmarkStart w:id="6" w:name="_Hlk178469"/>
            <w:r w:rsidRPr="00CA7550">
              <w:rPr>
                <w:sz w:val="22"/>
                <w:szCs w:val="22"/>
              </w:rPr>
              <w:t xml:space="preserve">Dostępność serwisu infolinii </w:t>
            </w:r>
            <w:r w:rsidR="000415BD" w:rsidRPr="00CA7550">
              <w:rPr>
                <w:sz w:val="22"/>
                <w:szCs w:val="22"/>
              </w:rPr>
              <w:t>co najmniej 6</w:t>
            </w:r>
            <w:r w:rsidRPr="00CA7550">
              <w:rPr>
                <w:sz w:val="22"/>
                <w:szCs w:val="22"/>
              </w:rPr>
              <w:t xml:space="preserve"> dni w tygodniu</w:t>
            </w:r>
            <w:bookmarkEnd w:id="6"/>
          </w:p>
        </w:tc>
        <w:tc>
          <w:tcPr>
            <w:tcW w:w="2521" w:type="dxa"/>
          </w:tcPr>
          <w:p w:rsidR="00C10743" w:rsidRPr="00CA7550" w:rsidRDefault="0069460B" w:rsidP="00C10743">
            <w:pPr>
              <w:jc w:val="center"/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TAK-</w:t>
            </w:r>
            <w:r w:rsidR="00475628" w:rsidRPr="00CA7550">
              <w:rPr>
                <w:sz w:val="22"/>
                <w:szCs w:val="22"/>
              </w:rPr>
              <w:t xml:space="preserve"> </w:t>
            </w:r>
            <w:r w:rsidR="00555170" w:rsidRPr="00CA7550">
              <w:rPr>
                <w:sz w:val="22"/>
                <w:szCs w:val="22"/>
              </w:rPr>
              <w:t>5</w:t>
            </w:r>
            <w:r w:rsidRPr="00CA7550">
              <w:rPr>
                <w:sz w:val="22"/>
                <w:szCs w:val="22"/>
              </w:rPr>
              <w:t xml:space="preserve"> </w:t>
            </w:r>
            <w:r w:rsidR="00C10743" w:rsidRPr="00CA7550">
              <w:rPr>
                <w:sz w:val="22"/>
                <w:szCs w:val="22"/>
              </w:rPr>
              <w:t>pkt/NIE-0pkt</w:t>
            </w:r>
          </w:p>
          <w:p w:rsidR="00C10743" w:rsidRPr="00CA7550" w:rsidRDefault="00C10743" w:rsidP="00C10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:rsidR="00C10743" w:rsidRPr="00CA7550" w:rsidRDefault="00C10743" w:rsidP="00F7460B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8475F9" w:rsidRPr="00CA7550" w:rsidTr="00CC2278">
        <w:tc>
          <w:tcPr>
            <w:tcW w:w="599" w:type="dxa"/>
            <w:vAlign w:val="center"/>
          </w:tcPr>
          <w:p w:rsidR="008475F9" w:rsidRPr="00CA7550" w:rsidRDefault="00555170" w:rsidP="00C10743">
            <w:pPr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5</w:t>
            </w:r>
            <w:r w:rsidR="008475F9" w:rsidRPr="00CA755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Align w:val="center"/>
          </w:tcPr>
          <w:p w:rsidR="008475F9" w:rsidRPr="00CA7550" w:rsidRDefault="008475F9" w:rsidP="0020156D">
            <w:pPr>
              <w:rPr>
                <w:sz w:val="22"/>
                <w:szCs w:val="22"/>
              </w:rPr>
            </w:pPr>
            <w:bookmarkStart w:id="7" w:name="_Hlk178491"/>
            <w:r w:rsidRPr="00CA7550">
              <w:rPr>
                <w:sz w:val="22"/>
                <w:szCs w:val="22"/>
              </w:rPr>
              <w:t xml:space="preserve">Możliwość </w:t>
            </w:r>
            <w:r w:rsidR="00D120DB" w:rsidRPr="00CA7550">
              <w:rPr>
                <w:sz w:val="22"/>
                <w:szCs w:val="22"/>
              </w:rPr>
              <w:t xml:space="preserve">przeglądu mikrokart po wykonaniu badań </w:t>
            </w:r>
            <w:r w:rsidR="0020156D" w:rsidRPr="00CA7550">
              <w:rPr>
                <w:sz w:val="22"/>
                <w:szCs w:val="22"/>
              </w:rPr>
              <w:t>w celu weryfikacji wyników wątpliwych</w:t>
            </w:r>
            <w:bookmarkEnd w:id="7"/>
          </w:p>
        </w:tc>
        <w:tc>
          <w:tcPr>
            <w:tcW w:w="2521" w:type="dxa"/>
          </w:tcPr>
          <w:p w:rsidR="008475F9" w:rsidRPr="00CA7550" w:rsidRDefault="00555170" w:rsidP="00C10743">
            <w:pPr>
              <w:jc w:val="center"/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TAK - 5 pkt/NIE-0pkt</w:t>
            </w:r>
          </w:p>
        </w:tc>
        <w:tc>
          <w:tcPr>
            <w:tcW w:w="1130" w:type="dxa"/>
            <w:vAlign w:val="center"/>
          </w:tcPr>
          <w:p w:rsidR="008475F9" w:rsidRPr="00CA7550" w:rsidRDefault="008475F9" w:rsidP="00F7460B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D120DB" w:rsidRPr="00CA7550" w:rsidTr="00CC2278">
        <w:tc>
          <w:tcPr>
            <w:tcW w:w="599" w:type="dxa"/>
            <w:vAlign w:val="center"/>
          </w:tcPr>
          <w:p w:rsidR="00D120DB" w:rsidRPr="00CA7550" w:rsidRDefault="00314C79" w:rsidP="00C10743">
            <w:pPr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6</w:t>
            </w:r>
            <w:r w:rsidR="00555170" w:rsidRPr="00CA7550">
              <w:rPr>
                <w:sz w:val="22"/>
                <w:szCs w:val="22"/>
              </w:rPr>
              <w:t>.</w:t>
            </w:r>
          </w:p>
        </w:tc>
        <w:tc>
          <w:tcPr>
            <w:tcW w:w="4678" w:type="dxa"/>
            <w:vAlign w:val="center"/>
          </w:tcPr>
          <w:p w:rsidR="00D120DB" w:rsidRPr="00CA7550" w:rsidRDefault="0020156D" w:rsidP="00555170">
            <w:pPr>
              <w:rPr>
                <w:sz w:val="22"/>
                <w:szCs w:val="22"/>
              </w:rPr>
            </w:pPr>
            <w:bookmarkStart w:id="8" w:name="_Hlk178509"/>
            <w:r w:rsidRPr="00CA7550">
              <w:rPr>
                <w:sz w:val="22"/>
                <w:szCs w:val="22"/>
              </w:rPr>
              <w:t>Perforacja pojedynczych kolumienek mikrokart przez analizator</w:t>
            </w:r>
            <w:bookmarkEnd w:id="8"/>
          </w:p>
        </w:tc>
        <w:tc>
          <w:tcPr>
            <w:tcW w:w="2521" w:type="dxa"/>
          </w:tcPr>
          <w:p w:rsidR="00314C79" w:rsidRPr="00CA7550" w:rsidRDefault="00314C79" w:rsidP="000415BD">
            <w:pPr>
              <w:jc w:val="center"/>
              <w:rPr>
                <w:sz w:val="22"/>
                <w:szCs w:val="22"/>
              </w:rPr>
            </w:pPr>
            <w:r w:rsidRPr="00CA7550">
              <w:rPr>
                <w:sz w:val="22"/>
                <w:szCs w:val="22"/>
              </w:rPr>
              <w:t>TAK -</w:t>
            </w:r>
            <w:r w:rsidR="000415BD" w:rsidRPr="00CA7550">
              <w:rPr>
                <w:sz w:val="22"/>
                <w:szCs w:val="22"/>
              </w:rPr>
              <w:t xml:space="preserve"> 10</w:t>
            </w:r>
            <w:r w:rsidR="00555170" w:rsidRPr="00CA7550">
              <w:rPr>
                <w:sz w:val="22"/>
                <w:szCs w:val="22"/>
              </w:rPr>
              <w:t xml:space="preserve"> pkt</w:t>
            </w:r>
            <w:r w:rsidR="000415BD" w:rsidRPr="00CA7550">
              <w:rPr>
                <w:sz w:val="22"/>
                <w:szCs w:val="22"/>
              </w:rPr>
              <w:t>./</w:t>
            </w:r>
            <w:r w:rsidR="00555170" w:rsidRPr="00CA7550">
              <w:rPr>
                <w:sz w:val="22"/>
                <w:szCs w:val="22"/>
              </w:rPr>
              <w:t>NIE – 0 pkt.</w:t>
            </w:r>
          </w:p>
        </w:tc>
        <w:tc>
          <w:tcPr>
            <w:tcW w:w="1130" w:type="dxa"/>
            <w:vAlign w:val="center"/>
          </w:tcPr>
          <w:p w:rsidR="00D120DB" w:rsidRPr="00CA7550" w:rsidRDefault="00D120DB" w:rsidP="00F7460B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10743" w:rsidRPr="00CA7550" w:rsidRDefault="00C10743" w:rsidP="00691A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6F5C" w:rsidRPr="00CA7550" w:rsidRDefault="007D6F5C" w:rsidP="00691A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D6F5C" w:rsidRPr="00CA7550" w:rsidSect="00A03899">
      <w:footerReference w:type="default" r:id="rId8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7F4" w:rsidRDefault="002837F4" w:rsidP="00D12B1B">
      <w:pPr>
        <w:spacing w:after="0" w:line="240" w:lineRule="auto"/>
      </w:pPr>
      <w:r>
        <w:separator/>
      </w:r>
    </w:p>
  </w:endnote>
  <w:endnote w:type="continuationSeparator" w:id="1">
    <w:p w:rsidR="002837F4" w:rsidRDefault="002837F4" w:rsidP="00D1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2132886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:rsidR="00072849" w:rsidRPr="00CA7550" w:rsidRDefault="0007284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CA7550">
              <w:rPr>
                <w:rFonts w:ascii="Times New Roman" w:hAnsi="Times New Roman" w:cs="Times New Roman"/>
              </w:rPr>
              <w:t xml:space="preserve">Strona </w:t>
            </w:r>
            <w:r w:rsidR="00F91310"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A755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91310"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E34F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91310"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A7550">
              <w:rPr>
                <w:rFonts w:ascii="Times New Roman" w:hAnsi="Times New Roman" w:cs="Times New Roman"/>
              </w:rPr>
              <w:t xml:space="preserve"> z </w:t>
            </w:r>
            <w:r w:rsidR="00F91310"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A755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91310"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E34F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91310" w:rsidRPr="00CA7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2849" w:rsidRPr="00CA7550" w:rsidRDefault="0007284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7F4" w:rsidRDefault="002837F4" w:rsidP="00D12B1B">
      <w:pPr>
        <w:spacing w:after="0" w:line="240" w:lineRule="auto"/>
      </w:pPr>
      <w:r>
        <w:separator/>
      </w:r>
    </w:p>
  </w:footnote>
  <w:footnote w:type="continuationSeparator" w:id="1">
    <w:p w:rsidR="002837F4" w:rsidRDefault="002837F4" w:rsidP="00D1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68D"/>
    <w:multiLevelType w:val="multilevel"/>
    <w:tmpl w:val="ACD01B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374A41"/>
    <w:multiLevelType w:val="hybridMultilevel"/>
    <w:tmpl w:val="CBA0368C"/>
    <w:lvl w:ilvl="0" w:tplc="D1B6F424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0C38"/>
    <w:multiLevelType w:val="multilevel"/>
    <w:tmpl w:val="F1C238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D0E62A9"/>
    <w:multiLevelType w:val="hybridMultilevel"/>
    <w:tmpl w:val="2D625A68"/>
    <w:lvl w:ilvl="0" w:tplc="EC1459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5ABE695F"/>
    <w:multiLevelType w:val="multilevel"/>
    <w:tmpl w:val="983E289E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409" w:hanging="7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53" w:hanging="76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97" w:hanging="7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color w:val="000000"/>
      </w:rPr>
    </w:lvl>
  </w:abstractNum>
  <w:abstractNum w:abstractNumId="5">
    <w:nsid w:val="5E5E0AC8"/>
    <w:multiLevelType w:val="hybridMultilevel"/>
    <w:tmpl w:val="857A4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E7452D7"/>
    <w:multiLevelType w:val="multilevel"/>
    <w:tmpl w:val="6E04095C"/>
    <w:lvl w:ilvl="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8E900FD"/>
    <w:multiLevelType w:val="hybridMultilevel"/>
    <w:tmpl w:val="1ED07F2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7AFA1C0E"/>
    <w:multiLevelType w:val="multilevel"/>
    <w:tmpl w:val="10D29FD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B732FEB"/>
    <w:multiLevelType w:val="hybridMultilevel"/>
    <w:tmpl w:val="564E48FA"/>
    <w:lvl w:ilvl="0" w:tplc="D3CE2276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60B96"/>
    <w:multiLevelType w:val="hybridMultilevel"/>
    <w:tmpl w:val="EC284E3A"/>
    <w:lvl w:ilvl="0" w:tplc="F1C81BA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B1B"/>
    <w:rsid w:val="00011B64"/>
    <w:rsid w:val="000415BD"/>
    <w:rsid w:val="00072849"/>
    <w:rsid w:val="00086FDF"/>
    <w:rsid w:val="0009269F"/>
    <w:rsid w:val="000C5F4C"/>
    <w:rsid w:val="0010282D"/>
    <w:rsid w:val="00115B19"/>
    <w:rsid w:val="00156FB9"/>
    <w:rsid w:val="00163B01"/>
    <w:rsid w:val="001670C1"/>
    <w:rsid w:val="0017075E"/>
    <w:rsid w:val="001B78D7"/>
    <w:rsid w:val="001B7E38"/>
    <w:rsid w:val="001C1312"/>
    <w:rsid w:val="001D524A"/>
    <w:rsid w:val="001E6B4E"/>
    <w:rsid w:val="001E727B"/>
    <w:rsid w:val="0020156D"/>
    <w:rsid w:val="00201777"/>
    <w:rsid w:val="00211707"/>
    <w:rsid w:val="00220D34"/>
    <w:rsid w:val="00223D85"/>
    <w:rsid w:val="00226998"/>
    <w:rsid w:val="002462FE"/>
    <w:rsid w:val="00257663"/>
    <w:rsid w:val="0027549D"/>
    <w:rsid w:val="002837F4"/>
    <w:rsid w:val="002A78A5"/>
    <w:rsid w:val="002B7D07"/>
    <w:rsid w:val="002C65A9"/>
    <w:rsid w:val="0030197F"/>
    <w:rsid w:val="00307304"/>
    <w:rsid w:val="0031349C"/>
    <w:rsid w:val="00314C79"/>
    <w:rsid w:val="0031723B"/>
    <w:rsid w:val="00324105"/>
    <w:rsid w:val="00361E86"/>
    <w:rsid w:val="0036376B"/>
    <w:rsid w:val="00387464"/>
    <w:rsid w:val="0039401B"/>
    <w:rsid w:val="003A1DCD"/>
    <w:rsid w:val="003A30BF"/>
    <w:rsid w:val="003A49C4"/>
    <w:rsid w:val="003C52D9"/>
    <w:rsid w:val="003D6CE7"/>
    <w:rsid w:val="003D7BF1"/>
    <w:rsid w:val="003E0042"/>
    <w:rsid w:val="003E2683"/>
    <w:rsid w:val="003E578E"/>
    <w:rsid w:val="003F08C8"/>
    <w:rsid w:val="003F6125"/>
    <w:rsid w:val="004024ED"/>
    <w:rsid w:val="00412A35"/>
    <w:rsid w:val="00426A44"/>
    <w:rsid w:val="00434CF8"/>
    <w:rsid w:val="0044554F"/>
    <w:rsid w:val="00450EF0"/>
    <w:rsid w:val="00462EA6"/>
    <w:rsid w:val="00467D2B"/>
    <w:rsid w:val="00475628"/>
    <w:rsid w:val="004B0748"/>
    <w:rsid w:val="004C06CA"/>
    <w:rsid w:val="00503B79"/>
    <w:rsid w:val="005129E0"/>
    <w:rsid w:val="005234AC"/>
    <w:rsid w:val="0052623E"/>
    <w:rsid w:val="005432FF"/>
    <w:rsid w:val="00555170"/>
    <w:rsid w:val="00563670"/>
    <w:rsid w:val="00576B40"/>
    <w:rsid w:val="005776D7"/>
    <w:rsid w:val="00582179"/>
    <w:rsid w:val="005824CE"/>
    <w:rsid w:val="005A58ED"/>
    <w:rsid w:val="005A74B0"/>
    <w:rsid w:val="005B612D"/>
    <w:rsid w:val="005D5122"/>
    <w:rsid w:val="005E1623"/>
    <w:rsid w:val="005E24EC"/>
    <w:rsid w:val="005E59D3"/>
    <w:rsid w:val="00615EFC"/>
    <w:rsid w:val="006266C2"/>
    <w:rsid w:val="00633E72"/>
    <w:rsid w:val="006500C5"/>
    <w:rsid w:val="006622C8"/>
    <w:rsid w:val="006628DA"/>
    <w:rsid w:val="006817F5"/>
    <w:rsid w:val="006845ED"/>
    <w:rsid w:val="00691AA3"/>
    <w:rsid w:val="0069460B"/>
    <w:rsid w:val="006D6920"/>
    <w:rsid w:val="006F6667"/>
    <w:rsid w:val="00720D79"/>
    <w:rsid w:val="0072326B"/>
    <w:rsid w:val="00745774"/>
    <w:rsid w:val="00746373"/>
    <w:rsid w:val="00750526"/>
    <w:rsid w:val="00757E5C"/>
    <w:rsid w:val="00776710"/>
    <w:rsid w:val="007A77E2"/>
    <w:rsid w:val="007C0391"/>
    <w:rsid w:val="007D6F5C"/>
    <w:rsid w:val="007D6FB9"/>
    <w:rsid w:val="007D7C5E"/>
    <w:rsid w:val="007F091C"/>
    <w:rsid w:val="007F0D27"/>
    <w:rsid w:val="007F7766"/>
    <w:rsid w:val="0081452B"/>
    <w:rsid w:val="008244CB"/>
    <w:rsid w:val="008432BB"/>
    <w:rsid w:val="008475F9"/>
    <w:rsid w:val="0086547A"/>
    <w:rsid w:val="008B2C17"/>
    <w:rsid w:val="008B6C62"/>
    <w:rsid w:val="008C3709"/>
    <w:rsid w:val="008D5255"/>
    <w:rsid w:val="0090522E"/>
    <w:rsid w:val="0090764B"/>
    <w:rsid w:val="00911CDB"/>
    <w:rsid w:val="00937580"/>
    <w:rsid w:val="00960456"/>
    <w:rsid w:val="00965526"/>
    <w:rsid w:val="00972345"/>
    <w:rsid w:val="009737D0"/>
    <w:rsid w:val="009B48D1"/>
    <w:rsid w:val="009D7066"/>
    <w:rsid w:val="009E41CA"/>
    <w:rsid w:val="00A03899"/>
    <w:rsid w:val="00A04EFF"/>
    <w:rsid w:val="00A17077"/>
    <w:rsid w:val="00A413C1"/>
    <w:rsid w:val="00A8454B"/>
    <w:rsid w:val="00AB0C75"/>
    <w:rsid w:val="00AB430A"/>
    <w:rsid w:val="00AB5CF7"/>
    <w:rsid w:val="00AD48E3"/>
    <w:rsid w:val="00AE34F0"/>
    <w:rsid w:val="00AE793F"/>
    <w:rsid w:val="00AF4360"/>
    <w:rsid w:val="00B01867"/>
    <w:rsid w:val="00B065C8"/>
    <w:rsid w:val="00B20026"/>
    <w:rsid w:val="00B561E7"/>
    <w:rsid w:val="00B800A0"/>
    <w:rsid w:val="00B95CF1"/>
    <w:rsid w:val="00BB553D"/>
    <w:rsid w:val="00BC17A2"/>
    <w:rsid w:val="00BC2A6B"/>
    <w:rsid w:val="00BF46FD"/>
    <w:rsid w:val="00C00873"/>
    <w:rsid w:val="00C07906"/>
    <w:rsid w:val="00C10743"/>
    <w:rsid w:val="00C11345"/>
    <w:rsid w:val="00C13220"/>
    <w:rsid w:val="00C14B38"/>
    <w:rsid w:val="00C248C7"/>
    <w:rsid w:val="00C24CD7"/>
    <w:rsid w:val="00C3462F"/>
    <w:rsid w:val="00C434F8"/>
    <w:rsid w:val="00C50EAE"/>
    <w:rsid w:val="00C80541"/>
    <w:rsid w:val="00C839D3"/>
    <w:rsid w:val="00CA11BA"/>
    <w:rsid w:val="00CA7550"/>
    <w:rsid w:val="00CC5E90"/>
    <w:rsid w:val="00CD2A0B"/>
    <w:rsid w:val="00CF07A8"/>
    <w:rsid w:val="00D120DB"/>
    <w:rsid w:val="00D12B1B"/>
    <w:rsid w:val="00D17100"/>
    <w:rsid w:val="00D175F0"/>
    <w:rsid w:val="00D3048B"/>
    <w:rsid w:val="00D40189"/>
    <w:rsid w:val="00D4237C"/>
    <w:rsid w:val="00D430F0"/>
    <w:rsid w:val="00D4418E"/>
    <w:rsid w:val="00D45469"/>
    <w:rsid w:val="00D66E44"/>
    <w:rsid w:val="00D7389B"/>
    <w:rsid w:val="00D81143"/>
    <w:rsid w:val="00DA32D3"/>
    <w:rsid w:val="00DA40AE"/>
    <w:rsid w:val="00DB374B"/>
    <w:rsid w:val="00DE1193"/>
    <w:rsid w:val="00DE2D07"/>
    <w:rsid w:val="00E02FC5"/>
    <w:rsid w:val="00E03AE8"/>
    <w:rsid w:val="00E03F5C"/>
    <w:rsid w:val="00E16C42"/>
    <w:rsid w:val="00E23436"/>
    <w:rsid w:val="00E373DF"/>
    <w:rsid w:val="00EC25AB"/>
    <w:rsid w:val="00EC5B92"/>
    <w:rsid w:val="00ED3B20"/>
    <w:rsid w:val="00EE0791"/>
    <w:rsid w:val="00EF3A16"/>
    <w:rsid w:val="00EF67C8"/>
    <w:rsid w:val="00F0726B"/>
    <w:rsid w:val="00F127C1"/>
    <w:rsid w:val="00F41334"/>
    <w:rsid w:val="00F7444C"/>
    <w:rsid w:val="00F80B18"/>
    <w:rsid w:val="00F81887"/>
    <w:rsid w:val="00F8479E"/>
    <w:rsid w:val="00F877FD"/>
    <w:rsid w:val="00F91310"/>
    <w:rsid w:val="00FD1DF9"/>
    <w:rsid w:val="00FE7739"/>
    <w:rsid w:val="00FF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B1B"/>
  </w:style>
  <w:style w:type="paragraph" w:styleId="Stopka">
    <w:name w:val="footer"/>
    <w:basedOn w:val="Normalny"/>
    <w:link w:val="StopkaZnak"/>
    <w:uiPriority w:val="99"/>
    <w:unhideWhenUsed/>
    <w:rsid w:val="00D1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B1B"/>
  </w:style>
  <w:style w:type="character" w:customStyle="1" w:styleId="Teksttreci2">
    <w:name w:val="Tekst treści (2)_"/>
    <w:basedOn w:val="Domylnaczcionkaakapitu"/>
    <w:link w:val="Teksttreci20"/>
    <w:rsid w:val="006D6920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D6920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7"/>
      <w:szCs w:val="27"/>
    </w:rPr>
  </w:style>
  <w:style w:type="paragraph" w:styleId="Tekstpodstawowywcity">
    <w:name w:val="Body Text Indent"/>
    <w:basedOn w:val="Normalny"/>
    <w:link w:val="TekstpodstawowywcityZnak"/>
    <w:rsid w:val="00DE2D07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2D07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7066"/>
    <w:pPr>
      <w:ind w:left="720"/>
      <w:contextualSpacing/>
    </w:pPr>
  </w:style>
  <w:style w:type="table" w:styleId="Tabela-Siatka">
    <w:name w:val="Table Grid"/>
    <w:basedOn w:val="Standardowy"/>
    <w:rsid w:val="00C10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00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0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0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0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654E-94D4-45F8-9FD3-CFAE28C9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mkrzeminski</cp:lastModifiedBy>
  <cp:revision>17</cp:revision>
  <cp:lastPrinted>2019-02-22T08:03:00Z</cp:lastPrinted>
  <dcterms:created xsi:type="dcterms:W3CDTF">2019-02-03T20:25:00Z</dcterms:created>
  <dcterms:modified xsi:type="dcterms:W3CDTF">2019-02-22T08:06:00Z</dcterms:modified>
</cp:coreProperties>
</file>